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rPr>
          <w:rFonts w:ascii="Times New Roman" w:hAnsi="Times New Roman"/>
          <w:sz w:val="28"/>
          <w:szCs w:val="28"/>
          <w:lang w:eastAsia="uk-UA"/>
        </w:rPr>
      </w:pPr>
      <w:r>
        <w:rPr>
          <w:rFonts w:ascii="Times New Roman" w:hAnsi="Times New Roman"/>
          <w:sz w:val="28"/>
          <w:szCs w:val="28"/>
          <w:lang w:eastAsia="uk-UA"/>
        </w:rPr>
        <w:t>Додаток 4</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rPr>
          <w:rFonts w:ascii="Times New Roman" w:hAnsi="Times New Roman"/>
          <w:sz w:val="28"/>
          <w:szCs w:val="28"/>
          <w:lang w:eastAsia="uk-UA"/>
        </w:rPr>
      </w:pPr>
      <w:r>
        <w:rPr>
          <w:rFonts w:ascii="Times New Roman" w:hAnsi="Times New Roman"/>
          <w:sz w:val="28"/>
          <w:szCs w:val="28"/>
          <w:lang w:eastAsia="uk-UA"/>
        </w:rPr>
        <w:t>до Порядку</w:t>
      </w:r>
      <w:r>
        <w:t xml:space="preserve"> </w:t>
      </w:r>
      <w:r>
        <w:rPr>
          <w:rFonts w:ascii="Times New Roman" w:hAnsi="Times New Roman"/>
          <w:sz w:val="28"/>
          <w:szCs w:val="28"/>
          <w:lang w:eastAsia="uk-UA"/>
        </w:rPr>
        <w:t xml:space="preserve">державної реєстрації </w:t>
      </w:r>
      <w:r>
        <w:rPr>
          <w:rFonts w:ascii="Times New Roman" w:hAnsi="Times New Roman"/>
          <w:smallCaps w:val="0"/>
          <w:sz w:val="28"/>
          <w:szCs w:val="22"/>
          <w:cs w:val="0"/>
          <w:spacing w:val="0"/>
          <w:w w:val="100"/>
          <w:position w:val="0"/>
          <w:snapToGrid w:val="1"/>
          <w:lang w:eastAsia="uk-UA"/>
        </w:rPr>
        <w:t>та</w:t>
      </w:r>
      <w:r>
        <w:rPr>
          <w:rFonts w:ascii="Times New Roman" w:hAnsi="Times New Roman"/>
          <w:sz w:val="28"/>
          <w:szCs w:val="28"/>
          <w:lang w:eastAsia="uk-UA"/>
        </w:rPr>
        <w:t xml:space="preserve">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rPr>
          <w:rFonts w:ascii="Times New Roman" w:hAnsi="Times New Roman"/>
          <w:smallCaps w:val="0"/>
          <w:sz w:val="28"/>
          <w:szCs w:val="22"/>
          <w:cs w:val="0"/>
          <w:spacing w:val="0"/>
          <w:w w:val="100"/>
          <w:position w:val="0"/>
          <w:snapToGrid w:val="1"/>
          <w:lang w:eastAsia="uk-UA"/>
        </w:rPr>
      </w:pPr>
      <w:r>
        <w:rPr>
          <w:rFonts w:ascii="Times New Roman" w:hAnsi="Times New Roman"/>
          <w:sz w:val="28"/>
          <w:szCs w:val="28"/>
          <w:lang w:eastAsia="uk-UA"/>
        </w:rPr>
        <w:t xml:space="preserve">обліку </w:t>
      </w:r>
      <w:r>
        <w:rPr>
          <w:rFonts w:ascii="Times New Roman" w:hAnsi="Times New Roman"/>
          <w:smallCaps w:val="0"/>
          <w:sz w:val="28"/>
          <w:szCs w:val="22"/>
          <w:cs w:val="0"/>
          <w:spacing w:val="0"/>
          <w:w w:val="100"/>
          <w:position w:val="0"/>
          <w:snapToGrid w:val="1"/>
          <w:lang w:eastAsia="uk-UA"/>
        </w:rPr>
        <w:t>науково-дослідних,</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rPr>
          <w:rFonts w:ascii="Times New Roman" w:hAnsi="Times New Roman"/>
          <w:smallCaps w:val="0"/>
          <w:sz w:val="28"/>
          <w:szCs w:val="22"/>
          <w:cs w:val="0"/>
          <w:spacing w:val="0"/>
          <w:w w:val="100"/>
          <w:position w:val="0"/>
          <w:snapToGrid w:val="1"/>
          <w:lang w:eastAsia="uk-UA"/>
        </w:rPr>
      </w:pPr>
      <w:r>
        <w:rPr>
          <w:rFonts w:ascii="Times New Roman" w:hAnsi="Times New Roman"/>
          <w:smallCaps w:val="0"/>
          <w:sz w:val="28"/>
          <w:szCs w:val="22"/>
          <w:cs w:val="0"/>
          <w:spacing w:val="0"/>
          <w:w w:val="100"/>
          <w:position w:val="0"/>
          <w:snapToGrid w:val="1"/>
          <w:lang w:eastAsia="uk-UA"/>
        </w:rPr>
        <w:t>дослідно-конструкторських</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rPr>
          <w:rFonts w:ascii="Times New Roman" w:hAnsi="Times New Roman"/>
          <w:sz w:val="28"/>
          <w:szCs w:val="28"/>
          <w:lang w:eastAsia="uk-UA"/>
        </w:rPr>
      </w:pPr>
      <w:r>
        <w:rPr>
          <w:rFonts w:ascii="Times New Roman" w:hAnsi="Times New Roman"/>
          <w:sz w:val="28"/>
          <w:szCs w:val="28"/>
          <w:lang w:eastAsia="uk-UA"/>
        </w:rPr>
        <w:t xml:space="preserve">робіт </w:t>
      </w:r>
      <w:r>
        <w:rPr>
          <w:rFonts w:ascii="Times New Roman" w:hAnsi="Times New Roman"/>
          <w:smallCaps w:val="0"/>
          <w:sz w:val="28"/>
          <w:szCs w:val="22"/>
          <w:cs w:val="0"/>
          <w:spacing w:val="0"/>
          <w:w w:val="100"/>
          <w:position w:val="0"/>
          <w:snapToGrid w:val="1"/>
          <w:lang w:eastAsia="uk-UA"/>
        </w:rPr>
        <w:t>і</w:t>
      </w:r>
      <w:r>
        <w:rPr>
          <w:rFonts w:ascii="Times New Roman" w:hAnsi="Times New Roman"/>
          <w:sz w:val="28"/>
          <w:szCs w:val="28"/>
          <w:lang w:eastAsia="uk-UA"/>
        </w:rPr>
        <w:t xml:space="preserve"> дисертацій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rPr>
          <w:rFonts w:ascii="Times New Roman" w:hAnsi="Times New Roman"/>
          <w:sz w:val="28"/>
          <w:szCs w:val="28"/>
          <w:lang w:eastAsia="uk-UA"/>
        </w:rPr>
      </w:pPr>
      <w:r>
        <w:rPr>
          <w:rFonts w:ascii="Times New Roman" w:hAnsi="Times New Roman"/>
          <w:smallCaps w:val="0"/>
          <w:sz w:val="28"/>
          <w:szCs w:val="22"/>
          <w:cs w:val="0"/>
          <w:spacing w:val="0"/>
          <w:w w:val="100"/>
          <w:position w:val="0"/>
          <w:snapToGrid w:val="1"/>
          <w:lang w:eastAsia="uk-UA"/>
        </w:rPr>
        <w:t>(пункт 6 розділу 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center"/>
        <w:rPr>
          <w:rFonts w:ascii="Times New Roman" w:hAnsi="Times New Roman"/>
          <w:b w:val="1"/>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center"/>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ІНСТРУКЦІЯ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center"/>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з оформлення та внесення змін в облікову картку науков</w:t>
      </w:r>
      <w:r>
        <w:rPr>
          <w:rFonts w:ascii="Times New Roman" w:hAnsi="Times New Roman"/>
          <w:b w:val="1"/>
          <w:smallCaps w:val="0"/>
          <w:color w:val="000000" w:themeColor="dark1"/>
          <w:sz w:val="28"/>
          <w:szCs w:val="22"/>
          <w:cs w:val="0"/>
          <w:spacing w:val="0"/>
          <w:w w:val="100"/>
          <w:position w:val="0"/>
          <w:snapToGrid w:val="1"/>
          <w:lang w:eastAsia="uk-UA"/>
        </w:rPr>
        <w:t>о-дослідних, дослідно-контрукторських</w:t>
      </w:r>
      <w:r>
        <w:rPr>
          <w:rFonts w:ascii="Times New Roman" w:hAnsi="Times New Roman"/>
          <w:b w:val="1"/>
          <w:color w:val="000000" w:themeColor="text1"/>
          <w:sz w:val="28"/>
          <w:szCs w:val="28"/>
          <w:lang w:eastAsia="uk-UA"/>
        </w:rPr>
        <w:t xml:space="preserve"> робіт (ОК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При заповненні картки слід ретельно дотримуватися формату відповідного поля.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Усі поля заповнюються українською мовою, крім тих, де вказано про необхідність надання інформації англійською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Для заповнення полів з інформацією про юридичних та фізичних осіб Системою 1 в автоматичному режимі надаються довідники (організацій, країн, областей, відомчих установ, персон тощо) з можливістю пошуку інформації.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Для заповнення полів з інформацією про керівників організацій та ДіР надається довідник персон з можливістю пошуку інформації.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Інформація про нову фізичну або юридичну особу додається виключно у випадку відсутності її у довіднику.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полях ОК ДіР зазначаються такі дані: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1. Загальні відомості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val="ru-RU"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Державний обліковий номер</w:t>
      </w:r>
      <w:r>
        <w:rPr>
          <w:rFonts w:ascii="Times New Roman" w:hAnsi="Times New Roman"/>
          <w:color w:val="000000" w:themeColor="text1"/>
          <w:sz w:val="28"/>
          <w:szCs w:val="28"/>
          <w:lang w:val="ru-RU" w:eastAsia="uk-UA"/>
        </w:rPr>
        <w:t xml:space="preserve">» – </w:t>
      </w:r>
      <w:r>
        <w:rPr>
          <w:rFonts w:ascii="Times New Roman" w:hAnsi="Times New Roman"/>
          <w:color w:val="000000" w:themeColor="text1"/>
          <w:sz w:val="28"/>
          <w:szCs w:val="28"/>
          <w:lang w:eastAsia="uk-UA"/>
        </w:rPr>
        <w:t>проставляється в УкрІНТЕІ.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«Дата реєстрації» – зазначається УкрІНТЕІ день, місяць та рік присвоєння ОК ДіР статусу «Зареєстрована». Дата проставляється відповідно до вимог Типової інструкції з діловодства в міністерствах, інших центральних та місцевих органах виконавчої влади, затвердженої постановою Кабінету Міністрів України «Деякі питання документування управлінської діяльності» від 17 січня 2018 р</w:t>
      </w:r>
      <w:r>
        <w:rPr>
          <w:rFonts w:ascii="Times New Roman" w:hAnsi="Times New Roman"/>
          <w:smallCaps w:val="0"/>
          <w:color w:val="000000" w:themeColor="dark1"/>
          <w:sz w:val="28"/>
          <w:szCs w:val="22"/>
          <w:cs w:val="0"/>
          <w:spacing w:val="0"/>
          <w:w w:val="100"/>
          <w:position w:val="0"/>
          <w:snapToGrid w:val="1"/>
          <w:lang w:eastAsia="uk-UA"/>
        </w:rPr>
        <w:t>оку</w:t>
      </w:r>
      <w:r>
        <w:rPr>
          <w:rFonts w:ascii="Times New Roman" w:hAnsi="Times New Roman"/>
          <w:color w:val="000000" w:themeColor="text1"/>
          <w:sz w:val="28"/>
          <w:szCs w:val="28"/>
          <w:lang w:eastAsia="uk-UA"/>
        </w:rPr>
        <w:t xml:space="preserve"> № 55.</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 xml:space="preserve">«Державний реєстраційний номер» – проставляється реєстраційний номер ДіР, отриманий в УкрІНТЕІ під час реєстрації </w:t>
      </w:r>
      <w:r>
        <w:rPr>
          <w:rFonts w:ascii="Times New Roman" w:hAnsi="Times New Roman"/>
          <w:sz w:val="28"/>
          <w:szCs w:val="28"/>
          <w:lang w:eastAsia="uk-UA"/>
        </w:rPr>
        <w:t>РК ДіР</w:t>
      </w:r>
      <w:r>
        <w:rPr>
          <w:rFonts w:ascii="Times New Roman" w:hAnsi="Times New Roman"/>
          <w:color w:val="000000" w:themeColor="text1"/>
          <w:sz w:val="28"/>
          <w:szCs w:val="28"/>
          <w:lang w:eastAsia="uk-UA"/>
        </w:rPr>
        <w:t xml:space="preserve">.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Після введення </w:t>
      </w:r>
      <w:r>
        <w:rPr>
          <w:rFonts w:ascii="Times New Roman" w:hAnsi="Times New Roman"/>
          <w:sz w:val="28"/>
          <w:szCs w:val="28"/>
          <w:lang w:eastAsia="uk-UA"/>
        </w:rPr>
        <w:t>державного</w:t>
      </w:r>
      <w:r>
        <w:rPr>
          <w:rFonts w:ascii="Times New Roman" w:hAnsi="Times New Roman"/>
          <w:color w:val="FF0000"/>
          <w:sz w:val="28"/>
          <w:szCs w:val="28"/>
          <w:lang w:eastAsia="uk-UA"/>
        </w:rPr>
        <w:t xml:space="preserve"> </w:t>
      </w:r>
      <w:r>
        <w:rPr>
          <w:rFonts w:ascii="Times New Roman" w:hAnsi="Times New Roman"/>
          <w:color w:val="000000" w:themeColor="text1"/>
          <w:sz w:val="28"/>
          <w:szCs w:val="28"/>
          <w:lang w:eastAsia="uk-UA"/>
        </w:rPr>
        <w:t>реєстраційного номера частина полів автоматично заповнюється інформацією, відповідно до раніше заповненої РК ДіР. Ці поля є неактивні.</w:t>
      </w:r>
    </w:p>
    <w:p>
      <w:pPr>
        <w:widowControl w:val="0"/>
        <w:ind w:firstLine="720"/>
        <w:jc w:val="both"/>
        <w:rPr>
          <w:rFonts w:ascii="Times New Roman" w:hAnsi="Times New Roman"/>
          <w:color w:val="000000"/>
          <w:sz w:val="28"/>
          <w:szCs w:val="28"/>
        </w:rPr>
      </w:pPr>
      <w:r>
        <w:rPr>
          <w:rFonts w:ascii="Times New Roman" w:hAnsi="Times New Roman"/>
          <w:color w:val="000000" w:themeColor="text1"/>
          <w:sz w:val="28"/>
          <w:szCs w:val="28"/>
          <w:lang w:eastAsia="uk-UA"/>
        </w:rPr>
        <w:t xml:space="preserve">Якщо в процесі заповнення полів ОК ДіР необхідно внести зміни у поле, яке було заповнено інформацією автоматично, то </w:t>
      </w:r>
      <w:r>
        <w:rPr>
          <w:rFonts w:ascii="Times New Roman" w:hAnsi="Times New Roman"/>
          <w:color w:val="000000"/>
          <w:sz w:val="28"/>
          <w:szCs w:val="28"/>
          <w:lang w:eastAsia="uk-UA"/>
        </w:rPr>
        <w:t xml:space="preserve">Виконавець використовує кнопку «Внесення змін», після натискання якої поле стає активним. Виконавець </w:t>
      </w:r>
      <w:r>
        <w:rPr>
          <w:rFonts w:ascii="Times New Roman" w:hAnsi="Times New Roman"/>
          <w:color w:val="000000"/>
          <w:sz w:val="28"/>
          <w:szCs w:val="28"/>
        </w:rPr>
        <w:t>додає до ОК ДіР скановану копію офіційного документа із зазначенням старих і нових значень полів, який регламентує доцільність внесення змін, і самостійно вносить зміни у відповідні поля.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«Особливі позначки» –зазначається режим доступу до інформації, що міститься у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«Відкрита»;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«Для службового користування»;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«Таємно»;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«Цілком таємно».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2. Етапи виконання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«Номер етапу» – проставляється порядковий номер етапу, на який заповнюється ОК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«Назва етапу» – зазначається назва етапу, яка зазначена у договірному документі.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«Початок етапу» – зазначаються місяць та рік початку виконання етапу ДіР, за який заповнюється ОК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«Закінчення етапу» – зазначаються місяць та рік завершення виконання етапу ДіР, за який заповнюється ОК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«Вид звітного документу» – зазначається вид звітного документа етапу виконання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«Без звіту»;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«Проміжний звіт»;</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w:t>
      </w:r>
      <w:r>
        <w:rPr>
          <w:rFonts w:ascii="Times New Roman" w:hAnsi="Times New Roman"/>
          <w:sz w:val="28"/>
          <w:szCs w:val="28"/>
          <w:lang w:eastAsia="uk-UA"/>
        </w:rPr>
        <w:t>Остаточний</w:t>
      </w:r>
      <w:r>
        <w:rPr>
          <w:rFonts w:ascii="Times New Roman" w:hAnsi="Times New Roman"/>
          <w:color w:val="000000" w:themeColor="text1"/>
          <w:sz w:val="28"/>
          <w:szCs w:val="28"/>
          <w:lang w:eastAsia="uk-UA"/>
        </w:rPr>
        <w:t xml:space="preserve"> звіт».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3. Відомості про виконавця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«Повне найменування юридичної особи (або Власне ім’я ПРІЗВИЩЕ)» – зазначається повне найменування Виконавця, що є юридичною особою, або власне ім’я і прізвище Виконавця, що є фізичною особою.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«Код за ЄДРПОУ (ідентифікаційний номер або серія та номер паспорта)» – якщо Виконавець є юридичною особою, зазначається ідентифікаційний код за Єдиним державним реєстром підприємств та організацій України; якщо Виконавець є фізичною особою, зазначається ідентифікаційний номер за Державним реєстром фізичних осіб – платників податків та інших обов'язкових платежів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«Ідентифікатор ROR/ORCID ID» – якщо Виконавець </w:t>
      </w:r>
      <w:r>
        <w:rPr>
          <w:rFonts w:ascii="Times New Roman" w:hAnsi="Times New Roman"/>
          <w:sz w:val="28"/>
          <w:szCs w:val="28"/>
          <w:lang w:eastAsia="uk-UA"/>
        </w:rPr>
        <w:t>ДіР</w:t>
      </w:r>
      <w:r>
        <w:rPr>
          <w:rFonts w:ascii="Times New Roman" w:hAnsi="Times New Roman"/>
          <w:color w:val="000000" w:themeColor="text1"/>
          <w:sz w:val="28"/>
          <w:szCs w:val="28"/>
          <w:lang w:eastAsia="uk-UA"/>
        </w:rPr>
        <w:t xml:space="preserve"> є юридичною особою, за наявності, зазначається цифровий ідентифікатор наукової установи </w:t>
      </w:r>
      <w:r>
        <w:rPr>
          <w:rFonts w:ascii="Times New Roman" w:hAnsi="Times New Roman"/>
          <w:color w:val="000000" w:themeColor="text1"/>
          <w:sz w:val="28"/>
          <w:szCs w:val="28"/>
          <w:lang w:val="en-US" w:eastAsia="uk-UA"/>
        </w:rPr>
        <w:t>ROR</w:t>
      </w:r>
      <w:r>
        <w:rPr>
          <w:rFonts w:ascii="Times New Roman" w:hAnsi="Times New Roman"/>
          <w:color w:val="000000" w:themeColor="text1"/>
          <w:sz w:val="28"/>
          <w:szCs w:val="28"/>
          <w:lang w:eastAsia="uk-UA"/>
        </w:rPr>
        <w:t xml:space="preserve">, отриманий у відкритому реєстрі постійних, унікальних цифрових ідентифікаторів дослідницьких організацій, які призначені для встановлення зв'язків між установами та результатами досліджень; якщо Виконавець ДіР є фізичною особою, за наявності, зазначається унікальний 16-значний номер відкритого ідентифікатора дослідника і автора досліджень </w:t>
      </w:r>
      <w:r>
        <w:rPr>
          <w:rFonts w:ascii="Times New Roman" w:hAnsi="Times New Roman"/>
          <w:color w:val="000000" w:themeColor="text1"/>
          <w:sz w:val="28"/>
          <w:szCs w:val="28"/>
          <w:lang w:val="en-US" w:eastAsia="uk-UA"/>
        </w:rPr>
        <w:t>ORCID</w:t>
      </w:r>
      <w:r>
        <w:rPr>
          <w:rFonts w:ascii="Times New Roman" w:hAnsi="Times New Roman"/>
          <w:color w:val="000000" w:themeColor="text1"/>
          <w:sz w:val="28"/>
          <w:szCs w:val="28"/>
          <w:lang w:eastAsia="uk-UA"/>
        </w:rPr>
        <w:t xml:space="preserve"> </w:t>
      </w:r>
      <w:r>
        <w:rPr>
          <w:rFonts w:ascii="Times New Roman" w:hAnsi="Times New Roman"/>
          <w:color w:val="000000" w:themeColor="text1"/>
          <w:sz w:val="28"/>
          <w:szCs w:val="28"/>
          <w:lang w:val="en-US" w:eastAsia="uk-UA"/>
        </w:rPr>
        <w:t>ID</w:t>
      </w:r>
      <w:r>
        <w:rPr>
          <w:rFonts w:ascii="Times New Roman" w:hAnsi="Times New Roman"/>
          <w:color w:val="000000" w:themeColor="text1"/>
          <w:sz w:val="28"/>
          <w:szCs w:val="28"/>
          <w:lang w:eastAsia="uk-UA"/>
        </w:rPr>
        <w:t>. У випадку відсутності таких ідентифікаторів, 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«Місцезнаходження (місце проживання)» – зазначається місцезнаходження/місце проживання (помешкання, будинок, вулиця, місто, район, область, поштовий індекс)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«Форма власності» – обирається форма власності підприємства, установи, організації Виконавця: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державна;</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комунальна;</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приватна;</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змішана.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FF0000"/>
          <w:sz w:val="28"/>
          <w:szCs w:val="28"/>
          <w:lang w:eastAsia="uk-UA"/>
        </w:rPr>
      </w:pPr>
      <w:r>
        <w:rPr>
          <w:rFonts w:ascii="Times New Roman" w:hAnsi="Times New Roman"/>
          <w:color w:val="000000" w:themeColor="text1"/>
          <w:sz w:val="28"/>
          <w:szCs w:val="28"/>
          <w:lang w:eastAsia="uk-UA"/>
        </w:rPr>
        <w:t xml:space="preserve">У полі «Сфера управління» – зазначається найменування державного органу, до сфери управління якого належить підприємство, установа, організація Виконавця. Якщо Виконавцем ДіР є фізична особа, зазначається «не застосовується». </w:t>
      </w:r>
      <w:r>
        <w:rPr>
          <w:rFonts w:ascii="Times New Roman" w:hAnsi="Times New Roman"/>
          <w:sz w:val="28"/>
          <w:szCs w:val="28"/>
          <w:lang w:eastAsia="uk-UA"/>
        </w:rPr>
        <w:t>Якщо у полі «Форма власності» зазначено «приватна», то у цьому полі зазначається «не застосовується».</w:t>
      </w:r>
      <w:r>
        <w:rPr>
          <w:rFonts w:ascii="Times New Roman" w:hAnsi="Times New Roman"/>
          <w:color w:val="FF0000"/>
          <w:sz w:val="28"/>
          <w:szCs w:val="28"/>
          <w:lang w:eastAsia="uk-UA"/>
        </w:rPr>
        <w:t xml:space="preserve">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«Сектор науки» – зазначається код, який відповідає сектору науки, до якого належить Виконавець:</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академічний;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галузевий;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університетський;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w:t>
      </w:r>
      <w:r>
        <w:rPr>
          <w:rFonts w:ascii="Times New Roman" w:hAnsi="Times New Roman"/>
          <w:smallCaps w:val="0"/>
          <w:color w:val="000000" w:themeColor="dark1"/>
          <w:sz w:val="28"/>
          <w:szCs w:val="22"/>
          <w:cs w:val="0"/>
          <w:spacing w:val="0"/>
          <w:w w:val="100"/>
          <w:position w:val="0"/>
          <w:snapToGrid w:val="1"/>
          <w:lang w:eastAsia="uk-UA"/>
        </w:rPr>
        <w:t>з</w:t>
      </w:r>
      <w:r>
        <w:rPr>
          <w:rFonts w:ascii="Times New Roman" w:hAnsi="Times New Roman"/>
          <w:color w:val="000000" w:themeColor="text1"/>
          <w:sz w:val="28"/>
          <w:szCs w:val="28"/>
          <w:lang w:eastAsia="uk-UA"/>
        </w:rPr>
        <w:t>аводський.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Якщо Виконавець є фізичною особою або фізичною особою-підприємцем, то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«Розмір організації» – зазначається кількість штатних співробітників підприємства, установи, організації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до 10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10-50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50-250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понад 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 xml:space="preserve">«Контакти» – зазначається номер телефону, адреса електронної пошти, адреса вебсайту  (за наявності)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 xml:space="preserve">4. Відомості про співвиконавця ДіР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«Повне найменування юридичної особи (або Власне ім’я ПРІЗВИЩЕ)» – зазначається повне найменування співвиконавця, що є юридичною особою, або власне ім’я і прізвище співвиконавця, що є фізичною особою.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«Код за ЄДРПОУ (ідентифікаційний номер або серія та номер паспорта)» – якщо співвиконавець є юридичною особою, зазначається ідентифікаційний код за Єдиним державним реєстром підприємств та організацій України; якщо співвиконавець є фізичною особою, зазначається ідентифікаційний номер за Державним реєстром фізичних осіб – платників податків та інших обов'язкових платежів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«Ідентифікатор ROR/ORCID ID» – якщо співвиконавець ДіР є юридичною особою, за наявності, зазначається цифровий ідентифікатор наукової установи </w:t>
      </w:r>
      <w:r>
        <w:rPr>
          <w:rFonts w:ascii="Times New Roman" w:hAnsi="Times New Roman"/>
          <w:color w:val="000000" w:themeColor="text1"/>
          <w:sz w:val="28"/>
          <w:szCs w:val="28"/>
          <w:lang w:val="en-US" w:eastAsia="uk-UA"/>
        </w:rPr>
        <w:t>ROR</w:t>
      </w:r>
      <w:r>
        <w:rPr>
          <w:rFonts w:ascii="Times New Roman" w:hAnsi="Times New Roman"/>
          <w:color w:val="000000" w:themeColor="text1"/>
          <w:sz w:val="28"/>
          <w:szCs w:val="28"/>
          <w:lang w:eastAsia="uk-UA"/>
        </w:rPr>
        <w:t xml:space="preserve">, отриманий у відкритому реєстрі постійних, унікальних цифрових ідентифікаторів дослідницьких організацій, які призначені для встановлення зв'язків між установами та результатами досліджень; якщо співвиконавець ДіР є фізичною особою, за наявності, зазначається унікальний 16-значний номер відкритого ідентифікатора дослідника і автора досліджень </w:t>
      </w:r>
      <w:r>
        <w:rPr>
          <w:rFonts w:ascii="Times New Roman" w:hAnsi="Times New Roman"/>
          <w:color w:val="000000" w:themeColor="text1"/>
          <w:sz w:val="28"/>
          <w:szCs w:val="28"/>
          <w:lang w:val="en-US" w:eastAsia="uk-UA"/>
        </w:rPr>
        <w:t>ORCID</w:t>
      </w:r>
      <w:r>
        <w:rPr>
          <w:rFonts w:ascii="Times New Roman" w:hAnsi="Times New Roman"/>
          <w:color w:val="000000" w:themeColor="text1"/>
          <w:sz w:val="28"/>
          <w:szCs w:val="28"/>
          <w:lang w:eastAsia="uk-UA"/>
        </w:rPr>
        <w:t xml:space="preserve"> </w:t>
      </w:r>
      <w:r>
        <w:rPr>
          <w:rFonts w:ascii="Times New Roman" w:hAnsi="Times New Roman"/>
          <w:color w:val="000000" w:themeColor="text1"/>
          <w:sz w:val="28"/>
          <w:szCs w:val="28"/>
          <w:lang w:val="en-US" w:eastAsia="uk-UA"/>
        </w:rPr>
        <w:t>ID</w:t>
      </w:r>
      <w:r>
        <w:rPr>
          <w:rFonts w:ascii="Times New Roman" w:hAnsi="Times New Roman"/>
          <w:color w:val="000000" w:themeColor="text1"/>
          <w:sz w:val="28"/>
          <w:szCs w:val="28"/>
          <w:lang w:eastAsia="uk-UA"/>
        </w:rPr>
        <w:t>. У випадку відсутності зазначених ідентифікаторів, 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«Форма власності» – обирається форма власності підприємства, установи, організації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державна;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комунальна;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приватна;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змішана.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«Сфера управління» – зазначається найменування державного органу, до сфери управління якого належить підприємство, установа, організація. Якщо співвиконавцем є фізична особа, зазначається «не застосовується». Якщо у полі «Форма власності» зазначено «приватна», то у цьому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«Сектор науки» – зазначається сектор науки, до якого належить співвиконавець:</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академічний;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галузевий;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університетський;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заводський.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Якщо співвиконавець є фізичною особою або фізичною особою-підприємцем, то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«Розмір організації» – зазначається кількість штатних співробітників підприємства, установи, організації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до 10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10-50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50-250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понад 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«Місцезнаходження (місце проживання)» – зазначається місцезнаходження/місце проживання (помешкання, будинок, вулиця, місто, район, область, поштовий індекс)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 xml:space="preserve">«Контакти» – зазначається номер телефону,  адреса електронної пошти, адреса вебсайту (за наявності)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«Внесок співвиконавця у звітний етап» –  необхідно описати участь і </w:t>
      </w:r>
      <w:r>
        <w:rPr>
          <w:rFonts w:ascii="Times New Roman" w:hAnsi="Times New Roman"/>
          <w:bCs w:val="1"/>
          <w:color w:val="000000" w:themeColor="text1"/>
          <w:sz w:val="28"/>
          <w:szCs w:val="28"/>
          <w:lang w:eastAsia="uk-UA"/>
        </w:rPr>
        <w:t>внесок співвиконавця протягом звітного етапу</w:t>
      </w:r>
      <w:r>
        <w:rPr>
          <w:rFonts w:ascii="Times New Roman" w:hAnsi="Times New Roman"/>
          <w:color w:val="000000" w:themeColor="text1"/>
          <w:sz w:val="28"/>
          <w:szCs w:val="28"/>
          <w:lang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За наявності декількох співвиконавців, частина 5 «Відомості про співвиконавця ДіР» ОК ДіР заповнюється для кожного співвиконавця окремо. Додавання блоку щодо співвиконавців здійснюється шляхом натискання кнопки «Додати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5. Відомості про замовника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«Повне найменування юридичної особи (або Власне ім’я ПРІЗВИЩЕ)» – зазначається повне найменування Замовника, що є юридичною особою, або власне ім’я і прізвище Замовника, який є фізичною особою.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spacing w:val="-4"/>
          <w:lang w:eastAsia="uk-UA"/>
        </w:rPr>
      </w:pPr>
      <w:r>
        <w:rPr>
          <w:rFonts w:ascii="Times New Roman" w:hAnsi="Times New Roman"/>
          <w:color w:val="000000" w:themeColor="text1"/>
          <w:sz w:val="28"/>
          <w:szCs w:val="28"/>
          <w:spacing w:val="-4"/>
          <w:lang w:eastAsia="uk-UA"/>
        </w:rPr>
        <w:t>У полі «Код за ЄДРПОУ (ідентифікаційний номер або серія та номер паспорта)» – якщо Замовник є юридичною особою, зазначається ідентифікаційний код за Єдиним державним реєстром підприємств та організацій України; якщо Замовник є фізичною особою, зазначається ідентифікаційний номер за Державним реєстром фізичних осіб – платників податків та інших обов'язкових платежів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«Ідентифікатор ROR/ORCID ID» – якщо </w:t>
      </w:r>
      <w:r>
        <w:rPr>
          <w:rFonts w:ascii="Times New Roman" w:hAnsi="Times New Roman"/>
          <w:color w:val="000000" w:themeColor="text1"/>
          <w:sz w:val="28"/>
          <w:szCs w:val="28"/>
          <w:spacing w:val="-4"/>
          <w:lang w:eastAsia="uk-UA"/>
        </w:rPr>
        <w:t xml:space="preserve">Замовник </w:t>
      </w:r>
      <w:r>
        <w:rPr>
          <w:rFonts w:ascii="Times New Roman" w:hAnsi="Times New Roman"/>
          <w:color w:val="000000" w:themeColor="text1"/>
          <w:sz w:val="28"/>
          <w:szCs w:val="28"/>
          <w:lang w:eastAsia="uk-UA"/>
        </w:rPr>
        <w:t xml:space="preserve">є юридичною особою, за наявності, зазначається цифровий ідентифікатор наукової установи ROR, отриманий у відкритому реєстрі постійних, унікальних цифрових ідентифікаторів дослідницьких організацій, які призначені для встановлення зв'язків між установами та результатами досліджень; якщо </w:t>
      </w:r>
      <w:r>
        <w:rPr>
          <w:rFonts w:ascii="Times New Roman" w:hAnsi="Times New Roman"/>
          <w:color w:val="000000" w:themeColor="text1"/>
          <w:sz w:val="28"/>
          <w:szCs w:val="28"/>
          <w:spacing w:val="-4"/>
          <w:lang w:eastAsia="uk-UA"/>
        </w:rPr>
        <w:t xml:space="preserve">Замовник </w:t>
      </w:r>
      <w:r>
        <w:rPr>
          <w:rFonts w:ascii="Times New Roman" w:hAnsi="Times New Roman"/>
          <w:color w:val="000000" w:themeColor="text1"/>
          <w:sz w:val="28"/>
          <w:szCs w:val="28"/>
          <w:lang w:eastAsia="uk-UA"/>
        </w:rPr>
        <w:t>є фізичною особою, за наявності, зазначається унікальний 16-значний номер відкритого ідентифікатора дослідника і автора досліджень ORCID ID. У випадку відсутності таких ідентифікаторів, 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«Місцезнаходження (місце проживання)» – зазначається місцезнаходження/місце проживання (помешкання, будинок, вулиця, місто, район, область, поштовий індекс) Замовника.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 xml:space="preserve">«Форма власності» – обирається форма власності підприємства, установи, організації </w:t>
      </w:r>
      <w:r>
        <w:rPr>
          <w:rFonts w:ascii="Times New Roman" w:hAnsi="Times New Roman"/>
          <w:color w:val="000000" w:themeColor="text1"/>
          <w:sz w:val="28"/>
          <w:szCs w:val="28"/>
          <w:spacing w:val="-4"/>
          <w:lang w:eastAsia="uk-UA"/>
        </w:rPr>
        <w:t>Замовника</w:t>
      </w:r>
      <w:r>
        <w:rPr>
          <w:rFonts w:ascii="Times New Roman" w:hAnsi="Times New Roman"/>
          <w:color w:val="000000" w:themeColor="text1"/>
          <w:sz w:val="28"/>
          <w:szCs w:val="28"/>
          <w:lang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державна;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комунальна;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приватна;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42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змішана.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FF0000"/>
          <w:sz w:val="28"/>
          <w:szCs w:val="28"/>
          <w:lang w:eastAsia="uk-UA"/>
        </w:rPr>
      </w:pPr>
      <w:r>
        <w:rPr>
          <w:rFonts w:ascii="Times New Roman" w:hAnsi="Times New Roman"/>
          <w:color w:val="000000" w:themeColor="text1"/>
          <w:sz w:val="28"/>
          <w:szCs w:val="28"/>
          <w:lang w:eastAsia="uk-UA"/>
        </w:rPr>
        <w:t xml:space="preserve">У полі «Сфера управління» – зазначається найменування державного органу, до сфери управління якого належить підприємство, установа, організація </w:t>
      </w:r>
      <w:r>
        <w:rPr>
          <w:rFonts w:ascii="Times New Roman" w:hAnsi="Times New Roman"/>
          <w:color w:val="000000" w:themeColor="text1"/>
          <w:sz w:val="28"/>
          <w:szCs w:val="28"/>
          <w:spacing w:val="-4"/>
          <w:lang w:eastAsia="uk-UA"/>
        </w:rPr>
        <w:t xml:space="preserve">Замовника </w:t>
      </w:r>
      <w:r>
        <w:rPr>
          <w:rFonts w:ascii="Times New Roman" w:hAnsi="Times New Roman"/>
          <w:color w:val="000000" w:themeColor="text1"/>
          <w:sz w:val="28"/>
          <w:szCs w:val="28"/>
          <w:lang w:eastAsia="uk-UA"/>
        </w:rPr>
        <w:t xml:space="preserve">(якщо </w:t>
      </w:r>
      <w:r>
        <w:rPr>
          <w:rFonts w:ascii="Times New Roman" w:hAnsi="Times New Roman"/>
          <w:color w:val="000000" w:themeColor="text1"/>
          <w:sz w:val="28"/>
          <w:szCs w:val="28"/>
          <w:spacing w:val="-4"/>
          <w:lang w:eastAsia="uk-UA"/>
        </w:rPr>
        <w:t xml:space="preserve">Замовником </w:t>
      </w:r>
      <w:r>
        <w:rPr>
          <w:rFonts w:ascii="Times New Roman" w:hAnsi="Times New Roman"/>
          <w:color w:val="000000" w:themeColor="text1"/>
          <w:sz w:val="28"/>
          <w:szCs w:val="28"/>
          <w:lang w:eastAsia="uk-UA"/>
        </w:rPr>
        <w:t xml:space="preserve">є фізична особа, зазначається «не застосовується»). </w:t>
      </w:r>
      <w:r>
        <w:rPr>
          <w:rFonts w:ascii="Times New Roman" w:hAnsi="Times New Roman"/>
          <w:sz w:val="28"/>
          <w:szCs w:val="28"/>
          <w:lang w:eastAsia="uk-UA"/>
        </w:rPr>
        <w:t>Я</w:t>
      </w:r>
      <w:bookmarkStart w:id="0" w:name="_GoBack"/>
      <w:bookmarkEnd w:id="0"/>
      <w:r>
        <w:rPr>
          <w:rFonts w:ascii="Times New Roman" w:hAnsi="Times New Roman"/>
          <w:sz w:val="28"/>
          <w:szCs w:val="28"/>
          <w:lang w:eastAsia="uk-UA"/>
        </w:rPr>
        <w:t xml:space="preserve">кщо у полі «Форма власності» зазначено «приватна», то у цьому полі зазначається «не застосовується».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«Розмір організації» – зазначається кількість штатних співробітників підприємства, установи, організації </w:t>
      </w:r>
      <w:r>
        <w:rPr>
          <w:rFonts w:ascii="Times New Roman" w:hAnsi="Times New Roman"/>
          <w:color w:val="000000" w:themeColor="text1"/>
          <w:sz w:val="28"/>
          <w:szCs w:val="28"/>
          <w:spacing w:val="-4"/>
          <w:lang w:eastAsia="uk-UA"/>
        </w:rPr>
        <w:t>Замовника</w:t>
      </w:r>
      <w:r>
        <w:rPr>
          <w:rFonts w:ascii="Times New Roman" w:hAnsi="Times New Roman"/>
          <w:color w:val="000000" w:themeColor="text1"/>
          <w:sz w:val="28"/>
          <w:szCs w:val="28"/>
          <w:lang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 до 10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 10-50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 50-250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 понад 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 xml:space="preserve">«Контакти» – зазначається номер телефону, адреса електронної пошти,  адреса вебсайту (за наявності) </w:t>
      </w:r>
      <w:r>
        <w:rPr>
          <w:rFonts w:ascii="Times New Roman" w:hAnsi="Times New Roman"/>
          <w:color w:val="000000" w:themeColor="text1"/>
          <w:sz w:val="28"/>
          <w:szCs w:val="28"/>
          <w:spacing w:val="-4"/>
          <w:lang w:eastAsia="uk-UA"/>
        </w:rPr>
        <w:t>Замовника</w:t>
      </w:r>
      <w:r>
        <w:rPr>
          <w:rFonts w:ascii="Times New Roman" w:hAnsi="Times New Roman"/>
          <w:color w:val="000000" w:themeColor="text1"/>
          <w:sz w:val="28"/>
          <w:szCs w:val="28"/>
          <w:lang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FF0000"/>
          <w:sz w:val="28"/>
          <w:szCs w:val="28"/>
          <w:lang w:eastAsia="uk-UA"/>
        </w:rPr>
      </w:pPr>
      <w:r>
        <w:rPr>
          <w:rFonts w:ascii="Times New Roman" w:hAnsi="Times New Roman"/>
          <w:b w:val="1"/>
          <w:color w:val="000000" w:themeColor="text1"/>
          <w:sz w:val="28"/>
          <w:szCs w:val="28"/>
          <w:lang w:eastAsia="uk-UA"/>
        </w:rPr>
        <w:t xml:space="preserve">6. Джерела, напрями та обсяги фінансування ДіР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FF0000"/>
          <w:sz w:val="28"/>
          <w:szCs w:val="28"/>
          <w:lang w:eastAsia="uk-UA"/>
        </w:rPr>
      </w:pPr>
      <w:r>
        <w:rPr>
          <w:rFonts w:ascii="Times New Roman" w:hAnsi="Times New Roman"/>
          <w:color w:val="000000" w:themeColor="text1"/>
          <w:sz w:val="28"/>
          <w:szCs w:val="28"/>
          <w:lang w:eastAsia="uk-UA"/>
        </w:rPr>
        <w:t>Відомості про підставу для проведення робіт, напрям фінансування, код програмної класифікації видатків і кредитування (КПКВК), джерело фінансування автоматично заповнюються інформацією, відповідно до раніше заповненої РК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«Підстава для проведення ДіР» – зазначається вид документу, на підставі якого було розпочато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договір (замовлення) з міністерством, іншим центральним органом виконавчої влади, академією наук (головним розпорядником бюджетних коштів на проведення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договір з вітчизняним підприємством, установою, організацією (фондом, асоціацією, концерном тощо)»;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договір із закордонним замовником;</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val="en-US" w:eastAsia="uk-UA"/>
        </w:rPr>
        <w:t> </w:t>
      </w:r>
      <w:r>
        <w:rPr>
          <w:rFonts w:ascii="Times New Roman" w:hAnsi="Times New Roman"/>
          <w:color w:val="000000" w:themeColor="text1"/>
          <w:sz w:val="28"/>
          <w:szCs w:val="28"/>
          <w:lang w:eastAsia="uk-UA"/>
        </w:rPr>
        <w:t>власна ініціатива (якщо ДіР виконується з власної ініціативи за кошти Виконавця ДіР або безкоштовно);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договір з фізичною особою (якщо замовником ДіР виступає фізична особа, за рахунок коштів якої вона виконується).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i w:val="1"/>
          <w:color w:val="000000" w:themeColor="text1"/>
          <w:sz w:val="28"/>
          <w:szCs w:val="28"/>
          <w:lang w:eastAsia="uk-UA"/>
        </w:rPr>
      </w:pPr>
      <w:r>
        <w:rPr>
          <w:rFonts w:ascii="Times New Roman" w:hAnsi="Times New Roman"/>
          <w:color w:val="000000" w:themeColor="text1"/>
          <w:sz w:val="28"/>
          <w:szCs w:val="28"/>
          <w:lang w:eastAsia="uk-UA"/>
        </w:rPr>
        <w:t xml:space="preserve">У полі «Код програмної класифікації видатків і кредитування (КПКВК)» – зазначається код бюджетної програми (код програмної класифікації видатків і кредитування), за якою виконується фінансування ДіР.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«Напрям фінансування» – зазначається напрям фінансування етапу виконання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фундаментальні дослідження;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прикладні наукові дослідження і науково-технічні (експериментальні) розробки;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державні цільові наукові та науково-технічні програми;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науково-технічні (експериментальні) розробки, що виконуються за державним замовленням;</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проєкти, що виконуються у межах міжнародного науково-технічного співробітництва;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інші (вказати).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«Джерело фінансування» – зазначається джерело фінансування етапу виконання ДіР. Для виконання ДіР можуть бути задіяні декілька джерел фінансування. У такому випадку зазначаються усі джерела фінансування: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кошти загального фонду державного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кошти спеціального фонду державного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кошти місцевого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кошти підприємств, установ, організацій України;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кошти замовників іноземних держав;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власні кошти – кошти підприємства, установи, організації, фізичної особи на виконання ініціативних робіт;</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кошти інших джерел;</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безоплатно – проставляється, якщо етап ДіР проводиться безоплатно за договірними умовами (наприклад, договір про науково-технічне співробітництво тощо).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«Код програмної класифікації видатків і кредитування (КПКВК)» – зазначається код бюджетної програми (код програмної класифікації видатків і кредитування), за якою виконується фінансування етапу виконання ДіР, якщо джерелом фінансування є кошти загального та / або спеціального фондів державного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«Фактичний обсяг фінансування» – зазначається сума коштів, яку було використано на виконання етапу ДіР (у тис. грн, (цифрами та прописом) за кожним джерелом фінансування. Обсяг коштів, які виділено із державного бюджету, має дорівнювати сумі коштів, виділених із загального та спеціального фондів державного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7. Відомості про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«Назва (українською мовою)» – подається повна назва ДіР українською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«Назва (англійською мовою)» – подається повна назва ДіР англійською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«Реферат (українською мовою)» – у стислій формі, не повторюючи назви ДіР, викладається основний зміст результатів ДіР: об’єкт дослідження (проєктування), мета дослідження, методи дослідження та апаратура, теоретичні і практичні результати, новизна, ефективність впровадження, галузь використання.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«Реферат (англійською мовою)» – англійською мовою наводиться інформація, яка має відповідати інформації, наведеній у полі «Реферат (українською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w:t>
      </w:r>
      <w:r>
        <w:rPr>
          <w:rFonts w:ascii="Times New Roman" w:hAnsi="Times New Roman"/>
          <w:color w:val="000000" w:themeColor="text1"/>
          <w:sz w:val="28"/>
          <w:szCs w:val="28"/>
          <w:lang w:val="ru-RU" w:eastAsia="uk-UA"/>
        </w:rPr>
        <w:t xml:space="preserve"> </w:t>
      </w:r>
      <w:r>
        <w:rPr>
          <w:rFonts w:ascii="Times New Roman" w:hAnsi="Times New Roman"/>
          <w:color w:val="000000" w:themeColor="text1"/>
          <w:sz w:val="28"/>
          <w:szCs w:val="28"/>
          <w:lang w:eastAsia="uk-UA"/>
        </w:rPr>
        <w:t>«Індекс УДК» – проставляється індекс УДК за таблицями Універсальної десяткової класифікації.</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spacing w:val="-6"/>
          <w:lang w:eastAsia="uk-UA"/>
        </w:rPr>
      </w:pPr>
      <w:r>
        <w:rPr>
          <w:rFonts w:ascii="Times New Roman" w:hAnsi="Times New Roman"/>
          <w:color w:val="000000" w:themeColor="text1"/>
          <w:sz w:val="28"/>
          <w:szCs w:val="28"/>
          <w:spacing w:val="-6"/>
          <w:lang w:eastAsia="uk-UA"/>
        </w:rPr>
        <w:t>У полі «Коди тематичних рубрик» – коди проставляються УкрІНТЕІ згідно з Національним класифікатором України «Рубрикатор науково-технічної інформації» (ДК 022:2008), затвердженим наказом Державного комітету України з питань технічного регулювання та споживчої політики від 31 грудня 2008 року № 525.</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8. Науково-технічна продукція (НТП)</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«Кількість одиниць створеної НТП» – зазначається кількість одиниць НТП, створеної в результаті виконання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результаті виконання наукової або науково-технічної роботи може бути створено декілька видів НТП (наприклад, створено виріб технічний, технологію та НТП виду «Інше» та/або декілька НТП одного виду).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На кожен результат (готову для реалізації НТП) частина 8 </w:t>
      </w:r>
      <w:r>
        <w:rPr>
          <w:rFonts w:ascii="Times New Roman" w:hAnsi="Times New Roman"/>
          <w:sz w:val="28"/>
          <w:szCs w:val="28"/>
          <w:lang w:eastAsia="uk-UA"/>
        </w:rPr>
        <w:t xml:space="preserve">«Науково-технічна продукція» </w:t>
      </w:r>
      <w:r>
        <w:rPr>
          <w:rFonts w:ascii="Times New Roman" w:hAnsi="Times New Roman"/>
          <w:color w:val="000000" w:themeColor="text1"/>
          <w:sz w:val="28"/>
          <w:szCs w:val="28"/>
          <w:lang w:eastAsia="uk-UA"/>
        </w:rPr>
        <w:t>ОК ДіР заповнюється окремо.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highlight w:val="yellow"/>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«НТП, яку передбачалось створити» – наводяться дані із РК ДіР щодо очікуваних результатів і зазначається: </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«створено»; </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«не створено». </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«Причини, через які НТП не було створено» – якщо у полі «НТП, яку передбачалось створити» обрано «не створено», то у цьому полі наводяться причини, які перешкодили створенню запланованої НТП.</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«Назва НТП (українською мовою)» вказується назва продукції, яка отримана на момент реєстрації ОК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Назва НТП – це назва конкретного результату проведених досліджень (наприклад, технологія одержання (побудови), прилад, метод, спосіб, методика, рекомендації, концепція, теорія, закономірності, пристрій, </w:t>
      </w:r>
      <w:r>
        <w:rPr>
          <w:rFonts w:ascii="Times New Roman" w:hAnsi="Times New Roman"/>
          <w:sz w:val="28"/>
          <w:szCs w:val="28"/>
          <w:lang w:eastAsia="uk-UA"/>
        </w:rPr>
        <w:t>проєкт</w:t>
      </w:r>
      <w:r>
        <w:rPr>
          <w:rFonts w:ascii="Times New Roman" w:hAnsi="Times New Roman"/>
          <w:color w:val="FF0000"/>
          <w:sz w:val="28"/>
          <w:szCs w:val="28"/>
          <w:lang w:eastAsia="uk-UA"/>
        </w:rPr>
        <w:t xml:space="preserve"> </w:t>
      </w:r>
      <w:r>
        <w:rPr>
          <w:rFonts w:ascii="Times New Roman" w:hAnsi="Times New Roman"/>
          <w:color w:val="000000" w:themeColor="text1"/>
          <w:sz w:val="28"/>
          <w:szCs w:val="28"/>
          <w:lang w:eastAsia="uk-UA"/>
        </w:rPr>
        <w:t>ДСТУ тощо) відповідно, а не їх спрямованість (створення технології, розроблення ДСТУ тощо). Назва НТП має бути лаконічною, відображати сутність результату (призначення, галузь застосування). Назва НТП має відрізнятись від назви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«Назва НТП (англійською мовою)» – англійською мовою наводиться інформація, яка має відповідати інформації, наведеній у полі «Назва НТП українською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spacing w:val="-4"/>
          <w:lang w:eastAsia="uk-UA"/>
        </w:rPr>
      </w:pPr>
      <w:r>
        <w:rPr>
          <w:rFonts w:ascii="Times New Roman" w:hAnsi="Times New Roman"/>
          <w:color w:val="000000" w:themeColor="text1"/>
          <w:sz w:val="28"/>
          <w:szCs w:val="28"/>
          <w:spacing w:val="-4"/>
          <w:lang w:eastAsia="uk-UA"/>
        </w:rPr>
        <w:t>У полі «Галузь застосування» – зазначаються основна, суміжні галузі, в яких впроваджена або може бути впроваджена НТП, потенційні споживачі продукції згідно з КВЕД-2010 – Національним класифікатором України «Класифікація видів економічної діяльності ДК 009:2010», затвердженим наказом Держспоживстандарту України від 11 жовтня 2010 року № 457, із змінами.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«Отримані результати» – зазначаються усі види отриманих в результаті виконання етапу ДіР результатів (науково-технічної продукції):</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види техніки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технології;</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матеріали;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сорти рослин;</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породи тварин;</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методи, теорії;</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проєкти нормативно-правових документів;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проєкти нормативно-технічних документів;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методичні документи;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програмні продукти, програмно-технологічна документація;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аналітичні матеріали;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інше (вказати).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36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FF0000"/>
          <w:sz w:val="28"/>
          <w:szCs w:val="28"/>
          <w:lang w:eastAsia="uk-UA"/>
        </w:rPr>
      </w:pPr>
      <w:r>
        <w:rPr>
          <w:rFonts w:ascii="Times New Roman" w:hAnsi="Times New Roman"/>
          <w:color w:val="000000" w:themeColor="text1"/>
          <w:sz w:val="28"/>
          <w:szCs w:val="28"/>
          <w:lang w:eastAsia="uk-UA"/>
        </w:rPr>
        <w:t xml:space="preserve">Поле «Реєстраційний номер картки технології» обов’язкове до заповнення, якщо як НТП була зареєстрована технологія (технології). Державний реєстраційний номер технології надається Міністерством освіти і науки України після процедури реєстрації в онлайн системі за адресою: </w:t>
      </w:r>
      <w:hyperlink xmlns:r="http://schemas.openxmlformats.org/officeDocument/2006/relationships" r:id="R2">
        <w:r>
          <w:rPr>
            <w:rStyle w:val="C2"/>
            <w:rFonts w:ascii="Times New Roman" w:hAnsi="Times New Roman"/>
            <w:sz w:val="28"/>
            <w:szCs w:val="28"/>
            <w:lang w:eastAsia="ru-RU"/>
          </w:rPr>
          <w:t>https://rkt.ukrintei.ua/</w:t>
        </w:r>
      </w:hyperlink>
      <w:r>
        <w:rPr>
          <w:rFonts w:ascii="Times New Roman" w:hAnsi="Times New Roman"/>
          <w:color w:val="000000"/>
          <w:sz w:val="28"/>
          <w:szCs w:val="28"/>
          <w:lang w:eastAsia="ru-RU"/>
        </w:rPr>
        <w:t xml:space="preserve"> .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«Рівень готовності технології» – зазначається рівень готовності технології згідно з дев’ятибальною шкалою рівнів готовності технології (Technology readiness levels), яка передбачає оцінку за такими рівнями: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TRL1 - сформульовано базові принципи технології;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TRL2 - сформульовано технологічні рішення;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TRL3 - проведено першу оцінку ефективності застосування ідеї і технології, концепцію доведено експериментально;</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TRL4 - перевірено прототип в лабораторії, технологію перевірено в лабораторії;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TRL5 - перевірено прототип в робочому середовищі користувача, технологію перевірено у відповідному робочому середовищі (на виробництві);</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TRL6 - здійснено випуск дослідного зразка продукту, включаючи тестування в робочому середовищі користувача;</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TRL7 - проведено демонстрацію пілотного виробництва на малій партії;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TRL8 - виробництво з використанням технології повністю перевірене, затверджене і готове до запуску;</w:t>
      </w:r>
    </w:p>
    <w:p>
      <w:pPr>
        <w:pStyle w:val="P1"/>
        <w:jc w:val="both"/>
        <w:rPr>
          <w:rFonts w:ascii="Times New Roman" w:hAnsi="Times New Roman"/>
          <w:color w:val="000000" w:themeColor="text1"/>
          <w:sz w:val="28"/>
          <w:szCs w:val="28"/>
          <w:lang w:eastAsia="uk-UA"/>
        </w:rPr>
      </w:pPr>
      <w:r>
        <w:rPr>
          <w:rFonts w:ascii="Times New Roman" w:hAnsi="Times New Roman"/>
          <w:smallCaps w:val="0"/>
          <w:color w:val="000000" w:themeColor="dark1"/>
          <w:sz w:val="28"/>
          <w:szCs w:val="22"/>
          <w:cs w:val="0"/>
          <w:spacing w:val="0"/>
          <w:w w:val="100"/>
          <w:position w:val="0"/>
          <w:snapToGrid w:val="1"/>
          <w:lang w:eastAsia="uk-UA"/>
        </w:rPr>
        <w:t>T</w:t>
      </w:r>
      <w:r>
        <w:rPr>
          <w:rFonts w:ascii="Times New Roman" w:hAnsi="Times New Roman"/>
          <w:color w:val="000000" w:themeColor="text1"/>
          <w:sz w:val="28"/>
          <w:szCs w:val="28"/>
          <w:lang w:eastAsia="uk-UA"/>
        </w:rPr>
        <w:t>RL9 - виробництво з використанням технології повністю запущене.</w:t>
      </w:r>
    </w:p>
    <w:p>
      <w:pPr>
        <w:pStyle w:val="P1"/>
        <w:jc w:val="both"/>
        <w:rPr>
          <w:rFonts w:ascii="Times New Roman" w:hAnsi="Times New Roman"/>
          <w:color w:val="000000" w:themeColor="text1"/>
          <w:sz w:val="28"/>
          <w:szCs w:val="28"/>
          <w:lang w:eastAsia="uk-UA"/>
        </w:rPr>
      </w:pPr>
    </w:p>
    <w:p>
      <w:pPr>
        <w:pStyle w:val="P1"/>
        <w:ind w:firstLine="720" w:left="0"/>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«Опис НТП» – надається короткий опис науково-технічної розробки обсягом до (максимум 500 знаків).</w:t>
      </w:r>
    </w:p>
    <w:p>
      <w:pPr>
        <w:pStyle w:val="P1"/>
        <w:rPr>
          <w:rFonts w:ascii="Times New Roman" w:hAnsi="Times New Roman"/>
          <w:color w:val="000000" w:themeColor="text1"/>
          <w:sz w:val="28"/>
          <w:szCs w:val="28"/>
          <w:lang w:eastAsia="uk-UA"/>
        </w:rPr>
      </w:pPr>
    </w:p>
    <w:p>
      <w:pPr>
        <w:pStyle w:val="P1"/>
        <w:ind w:firstLine="720" w:left="0"/>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«Соціально-економічна спрямованість НТП» – зазначаються соціальна і економічна привабливість і переваги продукції шляхом обрання одного або більше пунктів зі списку наведеного нижче, які відповідають розробленій НТП:</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створення принципово нової продукції (матеріалів, технологій тощо) для забезпечення експортного потенціалу та заміщення імпорту;</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збільшення обсягів виробництва;</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поліпшення стану навколишнього середовища;</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економія енергоресурсів;</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економія матеріалів;</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зменшення зносу обладнання;</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підвищення продуктивності праці;</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поліпшення якості життя та здоров’я населення, ефективності діагностики та лікування хворих;</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підвищення автоматизації виробничих процесів;</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забезпечення промисловості чи населення новим видом інформаційно-комунікаційних послуг;</w:t>
      </w:r>
    </w:p>
    <w:p>
      <w:pPr>
        <w:pStyle w:val="P1"/>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інше (вказати).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«Впровадження НТП» – зазначається поточний стан впровадження НТП:</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«Впроваджено»;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«Не впроваджено».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«Практична реалізація НТП» – зазначаються терміни початку та завершення впровадження НТП. Поле  заповнюється у випадку, якщо у полі «Впровадження НТП»  було обрано – «Впроваджено».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i w:val="1"/>
          <w:color w:val="000000" w:themeColor="text1"/>
          <w:sz w:val="28"/>
          <w:szCs w:val="28"/>
          <w:lang w:eastAsia="uk-UA"/>
        </w:rPr>
      </w:pPr>
      <w:r>
        <w:rPr>
          <w:rFonts w:ascii="Times New Roman" w:hAnsi="Times New Roman"/>
          <w:color w:val="000000" w:themeColor="text1"/>
          <w:sz w:val="28"/>
          <w:szCs w:val="28"/>
          <w:lang w:eastAsia="uk-UA"/>
        </w:rPr>
        <w:t xml:space="preserve">У полі «Споживачі НТП» – зазначаються існуючі і потенційні споживачі продукції </w:t>
      </w:r>
      <w:r>
        <w:rPr>
          <w:rFonts w:ascii="Times New Roman" w:hAnsi="Times New Roman"/>
          <w:sz w:val="28"/>
          <w:szCs w:val="28"/>
          <w:lang w:eastAsia="uk-UA"/>
        </w:rPr>
        <w:t xml:space="preserve">з можливостю </w:t>
      </w:r>
      <w:r>
        <w:rPr>
          <w:rFonts w:ascii="Times New Roman" w:hAnsi="Times New Roman"/>
          <w:color w:val="000000" w:themeColor="text1"/>
          <w:sz w:val="28"/>
          <w:szCs w:val="28"/>
          <w:lang w:eastAsia="uk-UA"/>
        </w:rPr>
        <w:t>додати необхідну кількість позицій. Кожен споживач додається в окремому рядку.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«Перспективні ринки» – вказуються потенційні ринки збуту продукції, виробленої з використанням НТП (країни або назви підприємств).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«Характер співробітництва з інвестором» – подається інформація про бажаний характер співробітництва з інвестором та деталізуються наступні відомості: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val="ru-RU" w:eastAsia="uk-UA"/>
        </w:rPr>
      </w:pPr>
      <w:r>
        <w:rPr>
          <w:rFonts w:ascii="Times New Roman" w:hAnsi="Times New Roman"/>
          <w:color w:val="000000" w:themeColor="text1"/>
          <w:sz w:val="28"/>
          <w:szCs w:val="28"/>
          <w:lang w:eastAsia="uk-UA"/>
        </w:rPr>
        <w:t>Потрібний обсяг інвестицій, тис. грн</w:t>
      </w:r>
      <w:r>
        <w:rPr>
          <w:rFonts w:ascii="Times New Roman" w:hAnsi="Times New Roman"/>
          <w:color w:val="000000" w:themeColor="text1"/>
          <w:sz w:val="28"/>
          <w:szCs w:val="28"/>
          <w:lang w:val="ru-RU"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val="ru-RU" w:eastAsia="uk-UA"/>
        </w:rPr>
      </w:pPr>
      <w:r>
        <w:rPr>
          <w:rFonts w:ascii="Times New Roman" w:hAnsi="Times New Roman"/>
          <w:color w:val="000000" w:themeColor="text1"/>
          <w:sz w:val="28"/>
          <w:szCs w:val="28"/>
          <w:lang w:eastAsia="uk-UA"/>
        </w:rPr>
        <w:t xml:space="preserve">Права, що надаються інвестору після завершення роботи </w:t>
      </w:r>
      <w:r>
        <w:rPr>
          <w:rFonts w:ascii="Times New Roman" w:hAnsi="Times New Roman"/>
          <w:sz w:val="28"/>
          <w:szCs w:val="28"/>
          <w:lang w:val="ru-RU" w:eastAsia="uk-UA"/>
        </w:rPr>
        <w:t>(відповідно до договірного документу);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val="ru-RU" w:eastAsia="uk-UA"/>
        </w:rPr>
      </w:pPr>
      <w:r>
        <w:rPr>
          <w:rFonts w:ascii="Times New Roman" w:hAnsi="Times New Roman"/>
          <w:color w:val="000000" w:themeColor="text1"/>
          <w:sz w:val="28"/>
          <w:szCs w:val="28"/>
          <w:lang w:eastAsia="uk-UA"/>
        </w:rPr>
        <w:t>Наявність бізнес-плану (так/ні)</w:t>
      </w:r>
      <w:r>
        <w:rPr>
          <w:rFonts w:ascii="Times New Roman" w:hAnsi="Times New Roman"/>
          <w:color w:val="000000" w:themeColor="text1"/>
          <w:sz w:val="28"/>
          <w:szCs w:val="28"/>
          <w:lang w:val="ru-RU"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val="ru-RU" w:eastAsia="uk-UA"/>
        </w:rPr>
      </w:pPr>
      <w:r>
        <w:rPr>
          <w:rFonts w:ascii="Times New Roman" w:hAnsi="Times New Roman"/>
          <w:color w:val="000000" w:themeColor="text1"/>
          <w:sz w:val="28"/>
          <w:szCs w:val="28"/>
          <w:lang w:eastAsia="uk-UA"/>
        </w:rPr>
        <w:t>Техніко-економічне обґрунтування (так/ні)</w:t>
      </w:r>
      <w:r>
        <w:rPr>
          <w:rFonts w:ascii="Times New Roman" w:hAnsi="Times New Roman"/>
          <w:color w:val="000000" w:themeColor="text1"/>
          <w:sz w:val="28"/>
          <w:szCs w:val="28"/>
          <w:lang w:val="ru-RU"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val="ru-RU" w:eastAsia="uk-UA"/>
        </w:rPr>
      </w:pPr>
      <w:r>
        <w:rPr>
          <w:rFonts w:ascii="Times New Roman" w:hAnsi="Times New Roman"/>
          <w:color w:val="000000" w:themeColor="text1"/>
          <w:sz w:val="28"/>
          <w:szCs w:val="28"/>
          <w:lang w:eastAsia="uk-UA"/>
        </w:rPr>
        <w:t>Потенційний обсяг продажу, тис. грн</w:t>
      </w:r>
      <w:r>
        <w:rPr>
          <w:rFonts w:ascii="Times New Roman" w:hAnsi="Times New Roman"/>
          <w:color w:val="000000" w:themeColor="text1"/>
          <w:sz w:val="28"/>
          <w:szCs w:val="28"/>
          <w:lang w:val="ru-RU"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val="ru-RU" w:eastAsia="uk-UA"/>
        </w:rPr>
      </w:pPr>
      <w:r>
        <w:rPr>
          <w:rFonts w:ascii="Times New Roman" w:hAnsi="Times New Roman"/>
          <w:color w:val="000000" w:themeColor="text1"/>
          <w:sz w:val="28"/>
          <w:szCs w:val="28"/>
          <w:lang w:eastAsia="uk-UA"/>
        </w:rPr>
        <w:t>Очікуваний термін окупності (років)</w:t>
      </w:r>
      <w:r>
        <w:rPr>
          <w:rFonts w:ascii="Times New Roman" w:hAnsi="Times New Roman"/>
          <w:color w:val="000000" w:themeColor="text1"/>
          <w:sz w:val="28"/>
          <w:szCs w:val="28"/>
          <w:lang w:val="ru-RU"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Додаткова інформація.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«Охоронні документи на ОПІВ» – зазначаються види об’єктів права інтелектуальної власності, отримані в результаті виконання етапу ДіР. Для кожного виду зазначається в окремому полі перелік усіх наявних охоронних документів (патентів, свідоцтв або заяв на їх отримання), реєстраційний номер, власне ім’я і прізвище власника охоронного документа та країни, на які поширюється дія охоронних документів:</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літературні та художні твори;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1" w:name="n2246"/>
      <w:bookmarkEnd w:id="1"/>
      <w:r>
        <w:rPr>
          <w:rFonts w:ascii="Times New Roman" w:hAnsi="Times New Roman"/>
          <w:color w:val="000000" w:themeColor="text1"/>
          <w:sz w:val="28"/>
          <w:szCs w:val="28"/>
          <w:lang w:eastAsia="uk-UA"/>
        </w:rPr>
        <w:t>комп'ютерні програми;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2" w:name="n2247"/>
      <w:bookmarkEnd w:id="2"/>
      <w:r>
        <w:rPr>
          <w:rFonts w:ascii="Times New Roman" w:hAnsi="Times New Roman"/>
          <w:color w:val="000000" w:themeColor="text1"/>
          <w:sz w:val="28"/>
          <w:szCs w:val="28"/>
          <w:lang w:eastAsia="uk-UA"/>
        </w:rPr>
        <w:t>компіляції даних (бази даних);</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3" w:name="n2248"/>
      <w:bookmarkEnd w:id="3"/>
      <w:r>
        <w:rPr>
          <w:rFonts w:ascii="Times New Roman" w:hAnsi="Times New Roman"/>
          <w:color w:val="000000" w:themeColor="text1"/>
          <w:sz w:val="28"/>
          <w:szCs w:val="28"/>
          <w:lang w:eastAsia="uk-UA"/>
        </w:rPr>
        <w:t>виконання;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4" w:name="n2249"/>
      <w:bookmarkEnd w:id="4"/>
      <w:r>
        <w:rPr>
          <w:rFonts w:ascii="Times New Roman" w:hAnsi="Times New Roman"/>
          <w:color w:val="000000" w:themeColor="text1"/>
          <w:sz w:val="28"/>
          <w:szCs w:val="28"/>
          <w:lang w:eastAsia="uk-UA"/>
        </w:rPr>
        <w:t>фонограми, відеограми, передачі (програми) організацій мовлення;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5" w:name="n2250"/>
      <w:bookmarkEnd w:id="5"/>
      <w:r>
        <w:rPr>
          <w:rFonts w:ascii="Times New Roman" w:hAnsi="Times New Roman"/>
          <w:color w:val="000000" w:themeColor="text1"/>
          <w:sz w:val="28"/>
          <w:szCs w:val="28"/>
          <w:lang w:eastAsia="uk-UA"/>
        </w:rPr>
        <w:t>наукові відкриття;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6" w:name="n2251"/>
      <w:bookmarkEnd w:id="6"/>
      <w:r>
        <w:rPr>
          <w:rFonts w:ascii="Times New Roman" w:hAnsi="Times New Roman"/>
          <w:color w:val="000000" w:themeColor="text1"/>
          <w:sz w:val="28"/>
          <w:szCs w:val="28"/>
          <w:lang w:eastAsia="uk-UA"/>
        </w:rPr>
        <w:t>винаходи, корисні моделі, промислові зразки;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7" w:name="n2252"/>
      <w:bookmarkEnd w:id="7"/>
      <w:r>
        <w:rPr>
          <w:rFonts w:ascii="Times New Roman" w:hAnsi="Times New Roman"/>
          <w:color w:val="000000" w:themeColor="text1"/>
          <w:sz w:val="28"/>
          <w:szCs w:val="28"/>
          <w:lang w:eastAsia="uk-UA"/>
        </w:rPr>
        <w:t>компонування напівпровідникових виробів;</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раціоналізаторські пропозиції;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8" w:name="n2254"/>
      <w:bookmarkEnd w:id="8"/>
      <w:r>
        <w:rPr>
          <w:rFonts w:ascii="Times New Roman" w:hAnsi="Times New Roman"/>
          <w:color w:val="000000" w:themeColor="text1"/>
          <w:sz w:val="28"/>
          <w:szCs w:val="28"/>
          <w:lang w:eastAsia="uk-UA"/>
        </w:rPr>
        <w:t>сорти рослин, породи тварин;</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9" w:name="n2255"/>
      <w:bookmarkEnd w:id="9"/>
      <w:r>
        <w:rPr>
          <w:rFonts w:ascii="Times New Roman" w:hAnsi="Times New Roman"/>
          <w:color w:val="000000" w:themeColor="text1"/>
          <w:sz w:val="28"/>
          <w:szCs w:val="28"/>
          <w:lang w:eastAsia="uk-UA"/>
        </w:rPr>
        <w:t>комерційні (фірмові) найменування, торговельні марки (знаки для товарів і послуг), географічні зазначення;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1069"/>
        <w:jc w:val="both"/>
        <w:rPr>
          <w:rFonts w:ascii="Times New Roman" w:hAnsi="Times New Roman"/>
          <w:color w:val="000000" w:themeColor="text1"/>
          <w:sz w:val="28"/>
          <w:szCs w:val="28"/>
          <w:lang w:eastAsia="uk-UA"/>
        </w:rPr>
      </w:pPr>
      <w:bookmarkStart w:id="10" w:name="n2256"/>
      <w:bookmarkEnd w:id="10"/>
      <w:r>
        <w:rPr>
          <w:rFonts w:ascii="Times New Roman" w:hAnsi="Times New Roman"/>
          <w:color w:val="000000" w:themeColor="text1"/>
          <w:sz w:val="28"/>
          <w:szCs w:val="28"/>
          <w:lang w:eastAsia="uk-UA"/>
        </w:rPr>
        <w:t>комерційні таємниці.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9. Бібліографічний опис</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«Бібліографічний опис» – якщо результати ДіР опубліковані, депоновані, захищені патентом або її результатом є тиражований нормативно-технічний чи інструктивно-методичний документ, то в цьому полі зазначається бібліографічний опис (через крапку з комою) відповідних документів (публікацій). Бібліографічний опис названих джерел інформації повинен відповідати вимогам чинного законодавства України зі стандартизації (ДСТУ 3008:2015 «Інформація та документація. Звіти у сфері науки і техніки. Структура та правила оформлювання» </w:t>
      </w:r>
      <w:r>
        <w:rPr>
          <w:rFonts w:ascii="Times New Roman" w:hAnsi="Times New Roman"/>
          <w:smallCaps w:val="0"/>
          <w:color w:val="000000"/>
          <w:sz w:val="28"/>
          <w:szCs w:val="22"/>
          <w:cs w:val="0"/>
          <w:spacing w:val="0"/>
          <w:w w:val="100"/>
          <w:position w:val="0"/>
          <w:snapToGrid w:val="1"/>
          <w:lang w:eastAsia="uk-UA"/>
        </w:rPr>
        <w:t>(наказ ДП «УкрНДНЦ» від 22 червня 2015 року № 61), який набув чинності 01 липня 2017 року</w:t>
      </w:r>
      <w:r>
        <w:rPr>
          <w:rFonts w:ascii="Times New Roman" w:hAnsi="Times New Roman"/>
          <w:color w:val="000000"/>
          <w:sz w:val="28"/>
          <w:szCs w:val="28"/>
          <w:lang w:eastAsia="uk-UA"/>
        </w:rPr>
        <w:t>)</w:t>
      </w:r>
      <w:r>
        <w:rPr>
          <w:rFonts w:ascii="Times New Roman" w:hAnsi="Times New Roman"/>
          <w:color w:val="000000" w:themeColor="text1"/>
          <w:sz w:val="28"/>
          <w:szCs w:val="28"/>
          <w:lang w:eastAsia="uk-UA"/>
        </w:rPr>
        <w:t xml:space="preserve"> і подається окремими записами по кожному джерелу інформації та з указівкою через подвійну скісну риску «//» після назви видання категорії наукового фахового видання (А, Б).</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10. Умови доступу до звітної документації</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«Мова звітного документа» – проставляється мова звітного документа: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«Українська мова»;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«Англійська мова»;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«Інше» (вказати).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«Умови поширення в Україні» – зазначаються умови поширення звітної документації в Україні, які визначаються власником результатів ДіР. При цьому поширення звітної документації для документів, які відповідають режиму доступу до інформації</w:t>
      </w:r>
      <w:r>
        <w:rPr>
          <w:rFonts w:ascii="Times New Roman" w:hAnsi="Times New Roman"/>
          <w:color w:val="FF0000"/>
          <w:sz w:val="28"/>
          <w:szCs w:val="28"/>
          <w:lang w:eastAsia="uk-UA"/>
        </w:rPr>
        <w:t>,</w:t>
      </w:r>
      <w:r>
        <w:rPr>
          <w:rFonts w:ascii="Times New Roman" w:hAnsi="Times New Roman"/>
          <w:color w:val="000000" w:themeColor="text1"/>
          <w:sz w:val="28"/>
          <w:szCs w:val="28"/>
          <w:lang w:eastAsia="uk-UA"/>
        </w:rPr>
        <w:t xml:space="preserve"> здійснюється відповідно до вимог чинного законодавства України: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«Дозволяється копіювати»;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«Не дозволяється копіювати».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Якщо обрано «Не дозволяється копіювати», то Власник результатів ДіР під час подачі звітних документів до УкрІНТЕІ визначає умови їх поширення. За таких умов УкрІНТЕІ має право лише на поширення сигнальної інформації про результати такої роботи.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У полі «Умови передачі зарубіжним країнам» – обирається умова передачі звітної документації за кордон, яка визначається </w:t>
      </w:r>
      <w:r>
        <w:rPr>
          <w:rFonts w:ascii="Times New Roman" w:hAnsi="Times New Roman"/>
          <w:sz w:val="28"/>
          <w:szCs w:val="28"/>
          <w:lang w:eastAsia="uk-UA"/>
        </w:rPr>
        <w:t>В</w:t>
      </w:r>
      <w:r>
        <w:rPr>
          <w:rFonts w:ascii="Times New Roman" w:hAnsi="Times New Roman"/>
          <w:color w:val="000000" w:themeColor="text1"/>
          <w:sz w:val="28"/>
          <w:szCs w:val="28"/>
          <w:lang w:eastAsia="uk-UA"/>
        </w:rPr>
        <w:t xml:space="preserve">ласником результатів ДіР. При цьому поширення звітної документації для документів </w:t>
      </w:r>
      <w:r>
        <w:rPr>
          <w:rFonts w:ascii="Times New Roman" w:hAnsi="Times New Roman"/>
          <w:sz w:val="28"/>
          <w:szCs w:val="28"/>
          <w:lang w:eastAsia="uk-UA"/>
        </w:rPr>
        <w:t>і</w:t>
      </w:r>
      <w:r>
        <w:rPr>
          <w:rFonts w:ascii="Times New Roman" w:hAnsi="Times New Roman"/>
          <w:color w:val="000000" w:themeColor="text1"/>
          <w:sz w:val="28"/>
          <w:szCs w:val="28"/>
          <w:lang w:eastAsia="uk-UA"/>
        </w:rPr>
        <w:t>з грифом «Для службового користування», «Таємно», «Цілком таємно» здійснюється відповідно до вимог чинного законодавства України: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«Дозволяється копіювати»;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 «Не дозволяється копіювати».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11. Заключні відомості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«Керівник юридичної особи» – зазначається власне ім’я і прізвище керівника підприємства, установи, організації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«Керівник ДіР» – зазначається власне ім’я і прізвище керівника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«Науковий ступінь» – зазначається науковий ступінь керівника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«Вчене звання» – зазначається вчене звання керівника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«Додаткова інформація» – зазначаються сторінки керівника ДіР у міжнародних наукометричних базах даних Scopus, Google Academy, Web of Science (за наявності).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color w:val="000000" w:themeColor="text1"/>
          <w:sz w:val="28"/>
          <w:szCs w:val="28"/>
          <w:lang w:eastAsia="uk-UA"/>
        </w:rPr>
        <w:t xml:space="preserve">У полі «Перелік осіб-виконавців» – </w:t>
      </w:r>
      <w:r>
        <w:rPr>
          <w:rFonts w:ascii="Times New Roman" w:hAnsi="Times New Roman"/>
          <w:sz w:val="28"/>
          <w:szCs w:val="28"/>
          <w:lang w:eastAsia="uk-UA"/>
        </w:rPr>
        <w:t>зазначаються в алфавітному порядку власне ім’я і прізвище, науковий ступінь, вчене звання, унікальний 16-значний номер відкритого ідентифікатора дослідника ORCID ID (за наявності) усіх працівників, задіяних у виконанні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«Відповідальний за підготовку реєстраційних документів» – зазначаються власне ім’я і прізвище, телефон відповідального за підготовку документів та ідентичність їх на паперових та електронних носіях інформації (уповноваженої особи, відповідно до пункту 2</w:t>
      </w:r>
      <w:r>
        <w:rPr>
          <w:rFonts w:ascii="Times New Roman" w:hAnsi="Times New Roman"/>
          <w:smallCaps w:val="0"/>
          <w:color w:val="000000" w:themeColor="dark1"/>
          <w:sz w:val="28"/>
          <w:szCs w:val="22"/>
          <w:cs w:val="0"/>
          <w:spacing w:val="0"/>
          <w:w w:val="100"/>
          <w:position w:val="0"/>
          <w:snapToGrid w:val="1"/>
          <w:lang w:eastAsia="uk-UA"/>
        </w:rPr>
        <w:t xml:space="preserve"> розділу ІІ</w:t>
      </w:r>
      <w:r>
        <w:rPr>
          <w:rFonts w:ascii="Times New Roman" w:hAnsi="Times New Roman"/>
          <w:color w:val="000000" w:themeColor="text1"/>
          <w:sz w:val="28"/>
          <w:szCs w:val="28"/>
          <w:lang w:eastAsia="uk-UA"/>
        </w:rPr>
        <w:t xml:space="preserve"> Порядку державної реєстрації та обліку наукових (науково-технічних) робіт </w:t>
      </w:r>
      <w:r>
        <w:rPr>
          <w:rFonts w:ascii="Times New Roman" w:hAnsi="Times New Roman"/>
          <w:smallCaps w:val="0"/>
          <w:color w:val="000000" w:themeColor="dark1"/>
          <w:sz w:val="28"/>
          <w:szCs w:val="22"/>
          <w:cs w:val="0"/>
          <w:spacing w:val="0"/>
          <w:w w:val="100"/>
          <w:position w:val="0"/>
          <w:snapToGrid w:val="1"/>
          <w:lang w:eastAsia="uk-UA"/>
        </w:rPr>
        <w:t>і</w:t>
      </w:r>
      <w:r>
        <w:rPr>
          <w:rFonts w:ascii="Times New Roman" w:hAnsi="Times New Roman"/>
          <w:color w:val="000000" w:themeColor="text1"/>
          <w:sz w:val="28"/>
          <w:szCs w:val="28"/>
          <w:lang w:eastAsia="uk-UA"/>
        </w:rPr>
        <w:t xml:space="preserve"> дисертацій).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«Керівник відділу УкрІНТЕІ, що відповідає за реєстрацію наукової діяльності» – зазначаються власне ім’я і прізвище керівника відповідного відділу УкрІНТЕІ.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У полі «Реєстратор» – зазначаються власне ім’я і прізвище співробітника відділу УкрІНТЕІ, який прийняв документи.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r>
        <w:rPr>
          <w:rFonts w:ascii="Times New Roman" w:hAnsi="Times New Roman"/>
          <w:b w:val="1"/>
          <w:color w:val="000000" w:themeColor="text1"/>
          <w:sz w:val="28"/>
          <w:szCs w:val="28"/>
          <w:lang w:eastAsia="uk-UA"/>
        </w:rPr>
        <w:t>12. Надсилання ОК ДіР у систему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Після обрання опції «З умовами подання звіту ознайомлений», з’являється поле для завантаження файлів звіту, а також документів, що  підтверджують зміни, що було внесено в ОК ДіР відносно до даних, внесених в РК ДіР (відповідно до абзацу п’ятого розділу 1 Інструкції).</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Звіт має бути оформлений відповідно до вимог чинного законодавства України зі стандартизації.</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Звіт в обов’язковому порядку має містити: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скановану копію титульного аркуша (печатка, підпис керівника установи, підприємства, організації Виконавця, підпис керівника ДіР);</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скановану копію переліку виконавців (власне ім’я і прізвище, посади, наукові ступені, вчені звання із зазначенням частини звіту, підготовленої кожним із авторів, особистий підпис);</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реферат;</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зміст;</w:t>
      </w:r>
    </w:p>
    <w:p>
      <w:pPr>
        <w:pStyle w:val="P1"/>
        <w:ind w:firstLine="709" w:left="0"/>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звіт у форматі Microsoft Word (doc/docx) або Adobe Acrobat (pdf, із текстовим шаром без заборони на копіювання).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Звіт подається у повному обсязі.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Якщо звіт складається з декількох окремих файлів, то завантажується окремо кожна частина, в тому числі додатки.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Якщо ОК ДіР відповідає всім вимогам цієї Інструкції, їй надається </w:t>
      </w:r>
      <w:r>
        <w:rPr>
          <w:rFonts w:ascii="Times New Roman" w:hAnsi="Times New Roman"/>
          <w:sz w:val="28"/>
          <w:szCs w:val="28"/>
          <w:lang w:eastAsia="uk-UA"/>
        </w:rPr>
        <w:t>д</w:t>
      </w:r>
      <w:r>
        <w:rPr>
          <w:rFonts w:ascii="Times New Roman" w:hAnsi="Times New Roman"/>
          <w:color w:val="000000" w:themeColor="text1"/>
          <w:sz w:val="28"/>
          <w:szCs w:val="28"/>
          <w:lang w:eastAsia="uk-UA"/>
        </w:rPr>
        <w:t>ержавний обліковий номер, присвоюється статус «Зареєстрована», і ОК ДіР з’являється в Особистому кабінеті особи, яка її заповнювала.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 xml:space="preserve">ОК ДіР формується у форматі </w:t>
      </w:r>
      <w:r>
        <w:rPr>
          <w:rFonts w:ascii="Times New Roman" w:hAnsi="Times New Roman"/>
          <w:color w:val="000000" w:themeColor="text1"/>
          <w:sz w:val="28"/>
          <w:szCs w:val="28"/>
          <w:lang w:val="ru-RU" w:eastAsia="uk-UA"/>
        </w:rPr>
        <w:t>.</w:t>
      </w:r>
      <w:r>
        <w:rPr>
          <w:rFonts w:ascii="Times New Roman" w:hAnsi="Times New Roman"/>
          <w:color w:val="000000" w:themeColor="text1"/>
          <w:sz w:val="28"/>
          <w:szCs w:val="28"/>
          <w:lang w:val="en-US" w:eastAsia="uk-UA"/>
        </w:rPr>
        <w:t>pdf</w:t>
      </w:r>
      <w:r>
        <w:rPr>
          <w:rFonts w:ascii="Times New Roman" w:hAnsi="Times New Roman"/>
          <w:color w:val="000000" w:themeColor="text1"/>
          <w:sz w:val="28"/>
          <w:szCs w:val="28"/>
          <w:lang w:eastAsia="uk-UA"/>
        </w:rPr>
        <w:t xml:space="preserve"> і є готовою до друку.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i w:val="1"/>
          <w:color w:val="000000" w:themeColor="text1"/>
          <w:sz w:val="28"/>
          <w:szCs w:val="28"/>
          <w:lang w:eastAsia="uk-UA"/>
        </w:rPr>
      </w:pPr>
      <w:r>
        <w:rPr>
          <w:rFonts w:ascii="Times New Roman" w:hAnsi="Times New Roman"/>
          <w:color w:val="000000" w:themeColor="text1"/>
          <w:sz w:val="28"/>
          <w:szCs w:val="28"/>
          <w:lang w:eastAsia="uk-UA"/>
        </w:rPr>
        <w:t>Якщо деякі поля ОК ДіР не відповідають вимогам цієї Інструкції, вона з’являється в Особистому кабінеті особи, яка її заповнювала, із зауваженнями по кожному полю, що потребує редагування</w:t>
      </w:r>
      <w:r>
        <w:rPr>
          <w:rFonts w:ascii="Times New Roman" w:hAnsi="Times New Roman"/>
          <w:i w:val="1"/>
          <w:color w:val="000000" w:themeColor="text1"/>
          <w:sz w:val="28"/>
          <w:szCs w:val="28"/>
          <w:lang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i w:val="1"/>
          <w:color w:val="000000" w:themeColor="text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themeColor="text1"/>
          <w:sz w:val="28"/>
          <w:szCs w:val="28"/>
          <w:lang w:eastAsia="uk-UA"/>
        </w:rPr>
      </w:pPr>
      <w:r>
        <w:rPr>
          <w:rFonts w:ascii="Times New Roman" w:hAnsi="Times New Roman"/>
          <w:color w:val="000000" w:themeColor="text1"/>
          <w:sz w:val="28"/>
          <w:szCs w:val="28"/>
          <w:lang w:eastAsia="uk-UA"/>
        </w:rPr>
        <w:t>За достовірність відомостей, що вказані в облікових документах, зміст звітних документів, якість оформлення і своєчасне їх подання УкрІНТЕІ відповідає уповноважена особа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i w:val="1"/>
          <w:color w:val="000000" w:themeColor="text1"/>
          <w:sz w:val="28"/>
          <w:szCs w:val="28"/>
          <w:lang w:eastAsia="uk-UA"/>
        </w:rPr>
      </w:pPr>
    </w:p>
    <w:sectPr>
      <w:headerReference xmlns:r="http://schemas.openxmlformats.org/officeDocument/2006/relationships" w:type="default" r:id="RelHdr1"/>
      <w:footnotePr/>
      <w:endnotePr/>
      <w:type w:val="nextPage"/>
      <w:pgSz w:w="11906" w:h="16838" w:code="0"/>
      <w:pgMar w:left="1417" w:right="850" w:top="850" w:bottom="850" w:header="708" w:footer="708" w:gutter="0"/>
      <w:titlePg w:val="1"/>
    </w:sectPr>
  </w:body>
</w:document>
</file>

<file path=word/endnotes.xml><?xml version="1.0" encoding="utf-8"?>
<w:end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endnote w:type="separator" w:id="-1">
    <w:p>
      <w:pPr>
        <w:spacing w:lineRule="auto" w:line="240" w:after="0" w:beforeAutospacing="0" w:afterAutospacing="0"/>
      </w:pPr>
    </w:p>
  </w:endnote>
  <w:endnote w:type="continuationSeparator" w:id="0">
    <w:p>
      <w:pPr>
        <w:spacing w:lineRule="auto" w:line="240" w:after="0" w:beforeAutospacing="0" w:afterAutospacing="0"/>
      </w:pPr>
    </w:p>
  </w:endnote>
</w:endnotes>
</file>

<file path=word/footnotes.xml><?xml version="1.0" encoding="utf-8"?>
<w:foot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footnote w:type="separator" w:id="-1">
    <w:p>
      <w:pPr>
        <w:spacing w:lineRule="auto" w:line="240" w:after="0" w:beforeAutospacing="0" w:afterAutospacing="0"/>
      </w:pPr>
    </w:p>
  </w:footnote>
  <w:footnote w:type="continuationSeparator" w:id="0">
    <w:p>
      <w:pPr>
        <w:spacing w:lineRule="auto" w:line="240" w:after="0" w:beforeAutospacing="0" w:afterAutospacing="0"/>
      </w:pPr>
    </w:p>
  </w:footnote>
</w:footnotes>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pPr>
      <w:pStyle w:val="P3"/>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w:t>
    </w:r>
    <w:r>
      <w:rPr>
        <w:rFonts w:ascii="Times New Roman" w:hAnsi="Times New Roman"/>
        <w:sz w:val="28"/>
        <w:szCs w:val="28"/>
      </w:rPr>
      <w:fldChar w:fldCharType="end"/>
    </w:r>
  </w:p>
  <w:p>
    <w:pPr>
      <w:pStyle w:val="P3"/>
      <w:jc w:val="right"/>
      <w:rPr>
        <w:rFonts w:ascii="Times New Roman" w:hAnsi="Times New Roman"/>
        <w:smallCaps w:val="0"/>
        <w:sz w:val="28"/>
        <w:szCs w:val="22"/>
        <w:cs w:val="0"/>
        <w:spacing w:val="0"/>
        <w:w w:val="100"/>
        <w:position w:val="0"/>
        <w:snapToGrid w:val="1"/>
      </w:rPr>
    </w:pPr>
    <w:r>
      <w:rPr>
        <w:rFonts w:ascii="Times New Roman" w:hAnsi="Times New Roman"/>
        <w:smallCaps w:val="0"/>
        <w:sz w:val="28"/>
        <w:szCs w:val="22"/>
        <w:cs w:val="0"/>
        <w:spacing w:val="0"/>
        <w:w w:val="100"/>
        <w:position w:val="0"/>
        <w:snapToGrid w:val="1"/>
      </w:rPr>
      <w:t>Продовження додатку 4</w:t>
    </w:r>
  </w:p>
  <w:p>
    <w:pPr>
      <w:pStyle w:val="P3"/>
      <w:jc w:val="left"/>
      <w:rPr>
        <w:rFonts w:ascii="Times New Roman" w:hAnsi="Times New Roman"/>
        <w:sz w:val="28"/>
        <w:szCs w:val="28"/>
      </w:rPr>
    </w:pPr>
  </w:p>
  <w:p>
    <w:pPr>
      <w:rPr>
        <w:rFonts w:ascii="Times New Roman" w:hAnsi="Times New Roman"/>
        <w:sz w:val="10"/>
        <w:szCs w:val="10"/>
      </w:rPr>
    </w:pPr>
  </w:p>
</w:hdr>
</file>

<file path=word/numbering.xml><?xml version="1.0" encoding="utf-8"?>
<w:numbering xmlns:w="http://schemas.openxmlformats.org/wordprocessingml/2006/main">
  <w:abstractNum w:abstractNumId="0">
    <w:nsid w:val="0BCE130E"/>
    <w:multiLevelType w:val="hybridMultilevel"/>
    <w:lvl w:ilvl="0" w:tplc="34F4D25A">
      <w:start w:val="7"/>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1">
    <w:nsid w:val="185D6FE8"/>
    <w:multiLevelType w:val="hybridMultilevel"/>
    <w:lvl w:ilvl="0" w:tplc="0BAC2BD4">
      <w:start w:val="2"/>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2">
    <w:nsid w:val="1F4E26E8"/>
    <w:multiLevelType w:val="hybridMultilevel"/>
    <w:lvl w:ilvl="0" w:tplc="ED823BBE">
      <w:start w:val="7"/>
      <w:numFmt w:val="bullet"/>
      <w:suff w:val="tab"/>
      <w:lvlText w:val="–"/>
      <w:lvlJc w:val="left"/>
      <w:pPr>
        <w:ind w:hanging="360" w:left="720"/>
      </w:pPr>
      <w:rPr>
        <w:rFonts w:ascii="Times New Roman" w:hAnsi="Times New Roman"/>
      </w:rPr>
    </w:lvl>
    <w:lvl w:ilvl="1" w:tplc="04220003">
      <w:start w:val="1"/>
      <w:numFmt w:val="bullet"/>
      <w:suff w:val="tab"/>
      <w:lvlText w:val="o"/>
      <w:lvlJc w:val="left"/>
      <w:pPr>
        <w:ind w:hanging="360" w:left="1440"/>
      </w:pPr>
      <w:rPr>
        <w:rFonts w:ascii="Courier New" w:hAnsi="Courier New"/>
      </w:rPr>
    </w:lvl>
    <w:lvl w:ilvl="2" w:tplc="04220005">
      <w:start w:val="1"/>
      <w:numFmt w:val="bullet"/>
      <w:suff w:val="tab"/>
      <w:lvlText w:val=""/>
      <w:lvlJc w:val="left"/>
      <w:pPr>
        <w:ind w:hanging="360" w:left="2160"/>
      </w:pPr>
      <w:rPr>
        <w:rFonts w:ascii="Wingdings" w:hAnsi="Wingdings"/>
      </w:rPr>
    </w:lvl>
    <w:lvl w:ilvl="3" w:tplc="04220001">
      <w:start w:val="1"/>
      <w:numFmt w:val="bullet"/>
      <w:suff w:val="tab"/>
      <w:lvlText w:val=""/>
      <w:lvlJc w:val="left"/>
      <w:pPr>
        <w:ind w:hanging="360" w:left="2880"/>
      </w:pPr>
      <w:rPr>
        <w:rFonts w:ascii="Symbol" w:hAnsi="Symbol"/>
      </w:rPr>
    </w:lvl>
    <w:lvl w:ilvl="4" w:tplc="04220003">
      <w:start w:val="1"/>
      <w:numFmt w:val="bullet"/>
      <w:suff w:val="tab"/>
      <w:lvlText w:val="o"/>
      <w:lvlJc w:val="left"/>
      <w:pPr>
        <w:ind w:hanging="360" w:left="3600"/>
      </w:pPr>
      <w:rPr>
        <w:rFonts w:ascii="Courier New" w:hAnsi="Courier New"/>
      </w:rPr>
    </w:lvl>
    <w:lvl w:ilvl="5" w:tplc="04220005">
      <w:start w:val="1"/>
      <w:numFmt w:val="bullet"/>
      <w:suff w:val="tab"/>
      <w:lvlText w:val=""/>
      <w:lvlJc w:val="left"/>
      <w:pPr>
        <w:ind w:hanging="360" w:left="4320"/>
      </w:pPr>
      <w:rPr>
        <w:rFonts w:ascii="Wingdings" w:hAnsi="Wingdings"/>
      </w:rPr>
    </w:lvl>
    <w:lvl w:ilvl="6" w:tplc="04220001">
      <w:start w:val="1"/>
      <w:numFmt w:val="bullet"/>
      <w:suff w:val="tab"/>
      <w:lvlText w:val=""/>
      <w:lvlJc w:val="left"/>
      <w:pPr>
        <w:ind w:hanging="360" w:left="5040"/>
      </w:pPr>
      <w:rPr>
        <w:rFonts w:ascii="Symbol" w:hAnsi="Symbol"/>
      </w:rPr>
    </w:lvl>
    <w:lvl w:ilvl="7" w:tplc="04220003">
      <w:start w:val="1"/>
      <w:numFmt w:val="bullet"/>
      <w:suff w:val="tab"/>
      <w:lvlText w:val="o"/>
      <w:lvlJc w:val="left"/>
      <w:pPr>
        <w:ind w:hanging="360" w:left="5760"/>
      </w:pPr>
      <w:rPr>
        <w:rFonts w:ascii="Courier New" w:hAnsi="Courier New"/>
      </w:rPr>
    </w:lvl>
    <w:lvl w:ilvl="8" w:tplc="04220005">
      <w:start w:val="1"/>
      <w:numFmt w:val="bullet"/>
      <w:suff w:val="tab"/>
      <w:lvlText w:val=""/>
      <w:lvlJc w:val="left"/>
      <w:pPr>
        <w:ind w:hanging="360" w:left="6480"/>
      </w:pPr>
      <w:rPr>
        <w:rFonts w:ascii="Wingdings" w:hAnsi="Wingdings"/>
      </w:rPr>
    </w:lvl>
  </w:abstractNum>
  <w:abstractNum w:abstractNumId="3">
    <w:nsid w:val="229E47A6"/>
    <w:multiLevelType w:val="hybridMultilevel"/>
    <w:lvl w:ilvl="0" w:tplc="0AD27E42">
      <w:start w:val="1"/>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4">
    <w:nsid w:val="289924CE"/>
    <w:multiLevelType w:val="hybridMultilevel"/>
    <w:lvl w:ilvl="0" w:tplc="B2FA926C">
      <w:start w:val="4"/>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5">
    <w:nsid w:val="2ACF045A"/>
    <w:multiLevelType w:val="hybridMultilevel"/>
    <w:lvl w:ilvl="0" w:tplc="36EA0740">
      <w:start w:val="3"/>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6">
    <w:nsid w:val="2B0C30F9"/>
    <w:multiLevelType w:val="hybridMultilevel"/>
    <w:lvl w:ilvl="0" w:tplc="E0DCE31E">
      <w:start w:val="3"/>
      <w:numFmt w:val="bullet"/>
      <w:suff w:val="tab"/>
      <w:lvlText w:val="–"/>
      <w:lvlJc w:val="left"/>
      <w:pPr>
        <w:ind w:hanging="360" w:left="1429"/>
      </w:pPr>
      <w:rPr>
        <w:rFonts w:ascii="Times New Roman" w:hAnsi="Times New Roman"/>
      </w:rPr>
    </w:lvl>
    <w:lvl w:ilvl="1" w:tplc="04220003">
      <w:start w:val="1"/>
      <w:numFmt w:val="bullet"/>
      <w:suff w:val="tab"/>
      <w:lvlText w:val="o"/>
      <w:lvlJc w:val="left"/>
      <w:pPr>
        <w:ind w:hanging="360" w:left="2149"/>
      </w:pPr>
      <w:rPr>
        <w:rFonts w:ascii="Courier New" w:hAnsi="Courier New"/>
      </w:rPr>
    </w:lvl>
    <w:lvl w:ilvl="2" w:tplc="04220005">
      <w:start w:val="1"/>
      <w:numFmt w:val="bullet"/>
      <w:suff w:val="tab"/>
      <w:lvlText w:val=""/>
      <w:lvlJc w:val="left"/>
      <w:pPr>
        <w:ind w:hanging="360" w:left="2869"/>
      </w:pPr>
      <w:rPr>
        <w:rFonts w:ascii="Wingdings" w:hAnsi="Wingdings"/>
      </w:rPr>
    </w:lvl>
    <w:lvl w:ilvl="3" w:tplc="04220001">
      <w:start w:val="1"/>
      <w:numFmt w:val="bullet"/>
      <w:suff w:val="tab"/>
      <w:lvlText w:val=""/>
      <w:lvlJc w:val="left"/>
      <w:pPr>
        <w:ind w:hanging="360" w:left="3589"/>
      </w:pPr>
      <w:rPr>
        <w:rFonts w:ascii="Symbol" w:hAnsi="Symbol"/>
      </w:rPr>
    </w:lvl>
    <w:lvl w:ilvl="4" w:tplc="04220003">
      <w:start w:val="1"/>
      <w:numFmt w:val="bullet"/>
      <w:suff w:val="tab"/>
      <w:lvlText w:val="o"/>
      <w:lvlJc w:val="left"/>
      <w:pPr>
        <w:ind w:hanging="360" w:left="4309"/>
      </w:pPr>
      <w:rPr>
        <w:rFonts w:ascii="Courier New" w:hAnsi="Courier New"/>
      </w:rPr>
    </w:lvl>
    <w:lvl w:ilvl="5" w:tplc="04220005">
      <w:start w:val="1"/>
      <w:numFmt w:val="bullet"/>
      <w:suff w:val="tab"/>
      <w:lvlText w:val=""/>
      <w:lvlJc w:val="left"/>
      <w:pPr>
        <w:ind w:hanging="360" w:left="5029"/>
      </w:pPr>
      <w:rPr>
        <w:rFonts w:ascii="Wingdings" w:hAnsi="Wingdings"/>
      </w:rPr>
    </w:lvl>
    <w:lvl w:ilvl="6" w:tplc="04220001">
      <w:start w:val="1"/>
      <w:numFmt w:val="bullet"/>
      <w:suff w:val="tab"/>
      <w:lvlText w:val=""/>
      <w:lvlJc w:val="left"/>
      <w:pPr>
        <w:ind w:hanging="360" w:left="5749"/>
      </w:pPr>
      <w:rPr>
        <w:rFonts w:ascii="Symbol" w:hAnsi="Symbol"/>
      </w:rPr>
    </w:lvl>
    <w:lvl w:ilvl="7" w:tplc="04220003">
      <w:start w:val="1"/>
      <w:numFmt w:val="bullet"/>
      <w:suff w:val="tab"/>
      <w:lvlText w:val="o"/>
      <w:lvlJc w:val="left"/>
      <w:pPr>
        <w:ind w:hanging="360" w:left="6469"/>
      </w:pPr>
      <w:rPr>
        <w:rFonts w:ascii="Courier New" w:hAnsi="Courier New"/>
      </w:rPr>
    </w:lvl>
    <w:lvl w:ilvl="8" w:tplc="04220005">
      <w:start w:val="1"/>
      <w:numFmt w:val="bullet"/>
      <w:suff w:val="tab"/>
      <w:lvlText w:val=""/>
      <w:lvlJc w:val="left"/>
      <w:pPr>
        <w:ind w:hanging="360" w:left="7189"/>
      </w:pPr>
      <w:rPr>
        <w:rFonts w:ascii="Wingdings" w:hAnsi="Wingdings"/>
      </w:rPr>
    </w:lvl>
  </w:abstractNum>
  <w:abstractNum w:abstractNumId="7">
    <w:nsid w:val="5178397D"/>
    <w:multiLevelType w:val="hybridMultilevel"/>
    <w:lvl w:ilvl="0" w:tplc="033200D8">
      <w:start w:val="6"/>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8">
    <w:nsid w:val="749A0753"/>
    <w:multiLevelType w:val="hybridMultilevel"/>
    <w:lvl w:ilvl="0" w:tplc="1D48CFFC">
      <w:start w:val="7"/>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9">
    <w:nsid w:val="7516315F"/>
    <w:multiLevelType w:val="hybridMultilevel"/>
    <w:lvl w:ilvl="0" w:tplc="3D24092E">
      <w:start w:val="1"/>
      <w:numFmt w:val="decimal"/>
      <w:suff w:val="tab"/>
      <w:lvlText w:val="(%1)"/>
      <w:lvlJc w:val="left"/>
      <w:pPr>
        <w:ind w:hanging="360" w:left="1353"/>
      </w:pPr>
      <w:rPr>
        <w:color w:val="FF0000"/>
      </w:rPr>
    </w:lvl>
    <w:lvl w:ilvl="1" w:tplc="04220019">
      <w:start w:val="1"/>
      <w:numFmt w:val="lowerLetter"/>
      <w:suff w:val="tab"/>
      <w:lvlText w:val="%2."/>
      <w:lvlJc w:val="left"/>
      <w:pPr>
        <w:ind w:hanging="360" w:left="2073"/>
      </w:pPr>
      <w:rPr/>
    </w:lvl>
    <w:lvl w:ilvl="2" w:tplc="0422001B">
      <w:start w:val="1"/>
      <w:numFmt w:val="lowerRoman"/>
      <w:suff w:val="tab"/>
      <w:lvlText w:val="%3."/>
      <w:lvlJc w:val="right"/>
      <w:pPr>
        <w:ind w:hanging="180" w:left="2793"/>
      </w:pPr>
      <w:rPr/>
    </w:lvl>
    <w:lvl w:ilvl="3" w:tplc="0422000F">
      <w:start w:val="1"/>
      <w:numFmt w:val="decimal"/>
      <w:suff w:val="tab"/>
      <w:lvlText w:val="%4."/>
      <w:lvlJc w:val="left"/>
      <w:pPr>
        <w:ind w:hanging="360" w:left="3513"/>
      </w:pPr>
      <w:rPr/>
    </w:lvl>
    <w:lvl w:ilvl="4" w:tplc="04220019">
      <w:start w:val="1"/>
      <w:numFmt w:val="lowerLetter"/>
      <w:suff w:val="tab"/>
      <w:lvlText w:val="%5."/>
      <w:lvlJc w:val="left"/>
      <w:pPr>
        <w:ind w:hanging="360" w:left="4233"/>
      </w:pPr>
      <w:rPr/>
    </w:lvl>
    <w:lvl w:ilvl="5" w:tplc="0422001B">
      <w:start w:val="1"/>
      <w:numFmt w:val="lowerRoman"/>
      <w:suff w:val="tab"/>
      <w:lvlText w:val="%6."/>
      <w:lvlJc w:val="right"/>
      <w:pPr>
        <w:ind w:hanging="180" w:left="4953"/>
      </w:pPr>
      <w:rPr/>
    </w:lvl>
    <w:lvl w:ilvl="6" w:tplc="0422000F">
      <w:start w:val="1"/>
      <w:numFmt w:val="decimal"/>
      <w:suff w:val="tab"/>
      <w:lvlText w:val="%7."/>
      <w:lvlJc w:val="left"/>
      <w:pPr>
        <w:ind w:hanging="360" w:left="5673"/>
      </w:pPr>
      <w:rPr/>
    </w:lvl>
    <w:lvl w:ilvl="7" w:tplc="04220019">
      <w:start w:val="1"/>
      <w:numFmt w:val="lowerLetter"/>
      <w:suff w:val="tab"/>
      <w:lvlText w:val="%8."/>
      <w:lvlJc w:val="left"/>
      <w:pPr>
        <w:ind w:hanging="360" w:left="6393"/>
      </w:pPr>
      <w:rPr/>
    </w:lvl>
    <w:lvl w:ilvl="8" w:tplc="0422001B">
      <w:start w:val="1"/>
      <w:numFmt w:val="lowerRoman"/>
      <w:suff w:val="tab"/>
      <w:lvlText w:val="%9."/>
      <w:lvlJc w:val="right"/>
      <w:pPr>
        <w:ind w:hanging="180" w:left="7113"/>
      </w:pPr>
      <w:rPr/>
    </w:lvl>
  </w:abstractNum>
  <w:abstractNum w:abstractNumId="10">
    <w:nsid w:val="752555B9"/>
    <w:multiLevelType w:val="hybridMultilevel"/>
    <w:lvl w:ilvl="0" w:tplc="0422000F">
      <w:start w:val="1"/>
      <w:numFmt w:val="decimal"/>
      <w:suff w:val="tab"/>
      <w:lvlText w:val="%1."/>
      <w:lvlJc w:val="left"/>
      <w:pPr>
        <w:ind w:hanging="360" w:left="720"/>
      </w:pPr>
      <w:rPr/>
    </w:lvl>
    <w:lvl w:ilvl="1" w:tplc="04220019">
      <w:start w:val="1"/>
      <w:numFmt w:val="lowerLetter"/>
      <w:suff w:val="tab"/>
      <w:lvlText w:val="%2."/>
      <w:lvlJc w:val="left"/>
      <w:pPr>
        <w:ind w:hanging="360" w:left="1440"/>
      </w:pPr>
      <w:rPr/>
    </w:lvl>
    <w:lvl w:ilvl="2" w:tplc="0422001B">
      <w:start w:val="1"/>
      <w:numFmt w:val="lowerRoman"/>
      <w:suff w:val="tab"/>
      <w:lvlText w:val="%3."/>
      <w:lvlJc w:val="right"/>
      <w:pPr>
        <w:ind w:hanging="180" w:left="2160"/>
      </w:pPr>
      <w:rPr/>
    </w:lvl>
    <w:lvl w:ilvl="3" w:tplc="0422000F">
      <w:start w:val="1"/>
      <w:numFmt w:val="decimal"/>
      <w:suff w:val="tab"/>
      <w:lvlText w:val="%4."/>
      <w:lvlJc w:val="left"/>
      <w:pPr>
        <w:ind w:hanging="360" w:left="2880"/>
      </w:pPr>
      <w:rPr/>
    </w:lvl>
    <w:lvl w:ilvl="4" w:tplc="04220019">
      <w:start w:val="1"/>
      <w:numFmt w:val="lowerLetter"/>
      <w:suff w:val="tab"/>
      <w:lvlText w:val="%5."/>
      <w:lvlJc w:val="left"/>
      <w:pPr>
        <w:ind w:hanging="360" w:left="3600"/>
      </w:pPr>
      <w:rPr/>
    </w:lvl>
    <w:lvl w:ilvl="5" w:tplc="0422001B">
      <w:start w:val="1"/>
      <w:numFmt w:val="lowerRoman"/>
      <w:suff w:val="tab"/>
      <w:lvlText w:val="%6."/>
      <w:lvlJc w:val="right"/>
      <w:pPr>
        <w:ind w:hanging="180" w:left="4320"/>
      </w:pPr>
      <w:rPr/>
    </w:lvl>
    <w:lvl w:ilvl="6" w:tplc="0422000F">
      <w:start w:val="1"/>
      <w:numFmt w:val="decimal"/>
      <w:suff w:val="tab"/>
      <w:lvlText w:val="%7."/>
      <w:lvlJc w:val="left"/>
      <w:pPr>
        <w:ind w:hanging="360" w:left="5040"/>
      </w:pPr>
      <w:rPr/>
    </w:lvl>
    <w:lvl w:ilvl="7" w:tplc="04220019">
      <w:start w:val="1"/>
      <w:numFmt w:val="lowerLetter"/>
      <w:suff w:val="tab"/>
      <w:lvlText w:val="%8."/>
      <w:lvlJc w:val="left"/>
      <w:pPr>
        <w:ind w:hanging="360" w:left="5760"/>
      </w:pPr>
      <w:rPr/>
    </w:lvl>
    <w:lvl w:ilvl="8" w:tplc="0422001B">
      <w:start w:val="1"/>
      <w:numFmt w:val="lowerRoman"/>
      <w:suff w:val="tab"/>
      <w:lvlText w:val="%9."/>
      <w:lvlJc w:val="right"/>
      <w:pPr>
        <w:ind w:hanging="180" w:left="6480"/>
      </w:pPr>
      <w:rPr/>
    </w:lvl>
  </w:abstractNum>
  <w:abstractNum w:abstractNumId="11">
    <w:nsid w:val="769757C9"/>
    <w:multiLevelType w:val="hybridMultilevel"/>
    <w:lvl w:ilvl="0" w:tplc="E8966D66">
      <w:start w:val="5"/>
      <w:numFmt w:val="bullet"/>
      <w:suff w:val="tab"/>
      <w:lvlText w:val="-"/>
      <w:lvlJc w:val="left"/>
      <w:pPr>
        <w:ind w:hanging="360" w:left="1069"/>
      </w:pPr>
      <w:rPr>
        <w:rFonts w:ascii="Times New Roman" w:hAnsi="Times New Roman"/>
        <w:color w:val="auto"/>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12">
    <w:nsid w:val="7A9447BA"/>
    <w:multiLevelType w:val="hybridMultilevel"/>
    <w:lvl w:ilvl="0" w:tplc="92E838D2">
      <w:start w:val="4"/>
      <w:numFmt w:val="bullet"/>
      <w:suff w:val="tab"/>
      <w:lvlText w:val="–"/>
      <w:lvlJc w:val="left"/>
      <w:pPr>
        <w:ind w:hanging="360" w:left="720"/>
      </w:pPr>
      <w:rPr>
        <w:rFonts w:ascii="Times New Roman" w:hAnsi="Times New Roman"/>
      </w:rPr>
    </w:lvl>
    <w:lvl w:ilvl="1" w:tplc="04220003">
      <w:start w:val="1"/>
      <w:numFmt w:val="bullet"/>
      <w:suff w:val="tab"/>
      <w:lvlText w:val="o"/>
      <w:lvlJc w:val="left"/>
      <w:pPr>
        <w:ind w:hanging="360" w:left="1440"/>
      </w:pPr>
      <w:rPr>
        <w:rFonts w:ascii="Courier New" w:hAnsi="Courier New"/>
      </w:rPr>
    </w:lvl>
    <w:lvl w:ilvl="2" w:tplc="04220005">
      <w:start w:val="1"/>
      <w:numFmt w:val="bullet"/>
      <w:suff w:val="tab"/>
      <w:lvlText w:val=""/>
      <w:lvlJc w:val="left"/>
      <w:pPr>
        <w:ind w:hanging="360" w:left="2160"/>
      </w:pPr>
      <w:rPr>
        <w:rFonts w:ascii="Wingdings" w:hAnsi="Wingdings"/>
      </w:rPr>
    </w:lvl>
    <w:lvl w:ilvl="3" w:tplc="04220001">
      <w:start w:val="1"/>
      <w:numFmt w:val="bullet"/>
      <w:suff w:val="tab"/>
      <w:lvlText w:val=""/>
      <w:lvlJc w:val="left"/>
      <w:pPr>
        <w:ind w:hanging="360" w:left="2880"/>
      </w:pPr>
      <w:rPr>
        <w:rFonts w:ascii="Symbol" w:hAnsi="Symbol"/>
      </w:rPr>
    </w:lvl>
    <w:lvl w:ilvl="4" w:tplc="04220003">
      <w:start w:val="1"/>
      <w:numFmt w:val="bullet"/>
      <w:suff w:val="tab"/>
      <w:lvlText w:val="o"/>
      <w:lvlJc w:val="left"/>
      <w:pPr>
        <w:ind w:hanging="360" w:left="3600"/>
      </w:pPr>
      <w:rPr>
        <w:rFonts w:ascii="Courier New" w:hAnsi="Courier New"/>
      </w:rPr>
    </w:lvl>
    <w:lvl w:ilvl="5" w:tplc="04220005">
      <w:start w:val="1"/>
      <w:numFmt w:val="bullet"/>
      <w:suff w:val="tab"/>
      <w:lvlText w:val=""/>
      <w:lvlJc w:val="left"/>
      <w:pPr>
        <w:ind w:hanging="360" w:left="4320"/>
      </w:pPr>
      <w:rPr>
        <w:rFonts w:ascii="Wingdings" w:hAnsi="Wingdings"/>
      </w:rPr>
    </w:lvl>
    <w:lvl w:ilvl="6" w:tplc="04220001">
      <w:start w:val="1"/>
      <w:numFmt w:val="bullet"/>
      <w:suff w:val="tab"/>
      <w:lvlText w:val=""/>
      <w:lvlJc w:val="left"/>
      <w:pPr>
        <w:ind w:hanging="360" w:left="5040"/>
      </w:pPr>
      <w:rPr>
        <w:rFonts w:ascii="Symbol" w:hAnsi="Symbol"/>
      </w:rPr>
    </w:lvl>
    <w:lvl w:ilvl="7" w:tplc="04220003">
      <w:start w:val="1"/>
      <w:numFmt w:val="bullet"/>
      <w:suff w:val="tab"/>
      <w:lvlText w:val="o"/>
      <w:lvlJc w:val="left"/>
      <w:pPr>
        <w:ind w:hanging="360" w:left="5760"/>
      </w:pPr>
      <w:rPr>
        <w:rFonts w:ascii="Courier New" w:hAnsi="Courier New"/>
      </w:rPr>
    </w:lvl>
    <w:lvl w:ilvl="8" w:tplc="04220005">
      <w:start w:val="1"/>
      <w:numFmt w:val="bullet"/>
      <w:suff w:val="tab"/>
      <w:lvlText w:val=""/>
      <w:lvlJc w:val="left"/>
      <w:pPr>
        <w:ind w:hanging="360" w:left="6480"/>
      </w:pPr>
      <w:rPr>
        <w:rFonts w:ascii="Wingdings" w:hAnsi="Wingdings"/>
      </w:rPr>
    </w:lvl>
  </w:abstractNum>
  <w:num w:numId="1">
    <w:abstractNumId w:val="10"/>
  </w:num>
  <w:num w:numId="2">
    <w:abstractNumId w:val="8"/>
  </w:num>
  <w:num w:numId="3">
    <w:abstractNumId w:val="2"/>
  </w:num>
  <w:num w:numId="4">
    <w:abstractNumId w:val="0"/>
  </w:num>
  <w:num w:numId="5">
    <w:abstractNumId w:val="3"/>
  </w:num>
  <w:num w:numId="6">
    <w:abstractNumId w:val="4"/>
  </w:num>
  <w:num w:numId="7">
    <w:abstractNumId w:val="12"/>
  </w:num>
  <w:num w:numId="8">
    <w:abstractNumId w:val="11"/>
  </w:num>
  <w:num w:numId="9">
    <w:abstractNumId w:val="5"/>
  </w:num>
  <w:num w:numId="10">
    <w:abstractNumId w:val="6"/>
  </w:num>
  <w:num w:numId="11">
    <w:abstractNumId w:val="1"/>
  </w:num>
  <w:num w:numId="12">
    <w:abstractNumId w:val="9"/>
  </w:num>
  <w:num w:numId="13">
    <w:abstractNumId w:val="7"/>
  </w:num>
</w:numbering>
</file>

<file path=word/settings.xml><?xml version="1.0" encoding="utf-8"?>
<w:settings xmlns:w="http://schemas.openxmlformats.org/wordprocessingml/2006/main">
  <w:displayBackgroundShape w:val="0"/>
  <w:defaultTabStop w:val="709"/>
  <w:autoHyphenation w:val="0"/>
  <w:hyphenationZone w:val="425"/>
  <w:evenAndOddHeaders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clrSchemeMapping w:bg1="light1" w:t1="dark1" w:bg2="light2" w:t2="dark2" w:accent1="accent1" w:accent2="accent2" w:accent3="accent3" w:accent4="accent4" w:accent5="accent5" w:accent6="accent6" w:hyperlink="hyperlink" w:followedHyperlink="followedHyperlink"/>
  <w:footnotePr>
    <w:footnote w:id="-1"/>
    <w:footnote w:id="0"/>
  </w:footnotePr>
  <w:endnotePr>
    <w:endnote w:id="-1"/>
    <w:endnote w:id="0"/>
  </w:endnotePr>
</w:settings>
</file>

<file path=word/styles.xml><?xml version="1.0" encoding="utf-8"?>
<w:styles xmlns:w="http://schemas.openxmlformats.org/wordprocessingml/2006/main">
  <w:docDefaults>
    <w:rPrDefault>
      <w:rPr>
        <w:rFonts w:ascii="Calibri" w:hAnsi="Calibri"/>
        <w:sz w:val="22"/>
        <w:szCs w:val="22"/>
        <w:lang w:val="uk-UA" w:bidi="ar-SA" w:eastAsia="en-US"/>
      </w:rPr>
    </w:rPrDefault>
    <w:pPrDefault>
      <w:pPr>
        <w:keepNext w:val="0"/>
        <w:keepLines w:val="0"/>
        <w:pageBreakBefore w:val="0"/>
        <w:widowControl w:val="1"/>
        <w:suppressLineNumbers w:val="0"/>
        <w:shd w:val="clear" w:fill="auto"/>
        <w:suppressAutoHyphens w:val="0"/>
        <w:spacing w:lineRule="auto" w:line="259" w:before="0" w:after="16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List Paragraph"/>
    <w:basedOn w:val="P0"/>
    <w:qFormat/>
    <w:pPr>
      <w:ind w:left="720"/>
      <w:contextualSpacing w:val="1"/>
    </w:pPr>
    <w:rPr/>
  </w:style>
  <w:style w:type="paragraph" w:styleId="P2">
    <w:name w:val="Balloon Text"/>
    <w:basedOn w:val="P0"/>
    <w:link w:val="C3"/>
    <w:semiHidden/>
    <w:pPr>
      <w:spacing w:lineRule="auto" w:line="240" w:after="0" w:beforeAutospacing="0" w:afterAutospacing="0"/>
    </w:pPr>
    <w:rPr>
      <w:rFonts w:ascii="Segoe UI" w:hAnsi="Segoe UI"/>
      <w:sz w:val="18"/>
      <w:szCs w:val="18"/>
    </w:rPr>
  </w:style>
  <w:style w:type="paragraph" w:styleId="P3">
    <w:name w:val="header"/>
    <w:basedOn w:val="P0"/>
    <w:link w:val="C4"/>
    <w:pPr>
      <w:tabs>
        <w:tab w:val="center" w:pos="4819" w:leader="none"/>
        <w:tab w:val="right" w:pos="9639" w:leader="none"/>
      </w:tabs>
      <w:spacing w:lineRule="auto" w:line="240" w:after="0" w:beforeAutospacing="0" w:afterAutospacing="0"/>
    </w:pPr>
    <w:rPr/>
  </w:style>
  <w:style w:type="paragraph" w:styleId="P4">
    <w:name w:val="footer"/>
    <w:basedOn w:val="P0"/>
    <w:link w:val="C5"/>
    <w:pPr>
      <w:tabs>
        <w:tab w:val="center" w:pos="4819" w:leader="none"/>
        <w:tab w:val="right" w:pos="9639" w:leader="none"/>
      </w:tabs>
      <w:spacing w:lineRule="auto" w:line="240" w:after="0" w:beforeAutospacing="0" w:afterAutospacing="0"/>
    </w:pPr>
    <w:rPr/>
  </w:style>
  <w:style w:type="paragraph" w:styleId="P5">
    <w:name w:val="annotation text"/>
    <w:basedOn w:val="P0"/>
    <w:link w:val="C7"/>
    <w:semiHidden/>
    <w:pPr>
      <w:spacing w:lineRule="auto" w:line="240" w:beforeAutospacing="0" w:afterAutospacing="0"/>
    </w:pPr>
    <w:rPr>
      <w:sz w:val="20"/>
      <w:szCs w:val="20"/>
    </w:rPr>
  </w:style>
  <w:style w:type="paragraph" w:styleId="P6">
    <w:name w:val="annotation subject"/>
    <w:basedOn w:val="P5"/>
    <w:next w:val="P5"/>
    <w:link w:val="C8"/>
    <w:semiHidden/>
    <w:pPr/>
    <w:rPr>
      <w:b w:val="1"/>
      <w:bCs w:val="1"/>
    </w:rPr>
  </w:style>
  <w:style w:type="paragraph" w:styleId="P7">
    <w:name w:val="footnote text"/>
    <w:link w:val="C10"/>
    <w:semiHidden/>
    <w:pPr>
      <w:spacing w:lineRule="auto" w:line="240" w:after="0" w:beforeAutospacing="0" w:afterAutospacing="0"/>
    </w:pPr>
    <w:rPr>
      <w:sz w:val="20"/>
      <w:szCs w:val="20"/>
    </w:rPr>
  </w:style>
  <w:style w:type="paragraph" w:styleId="P8">
    <w:name w:val="endnote text"/>
    <w:link w:val="C12"/>
    <w:semiHidden/>
    <w:pPr>
      <w:spacing w:lineRule="auto" w:line="240" w:after="0" w:beforeAutospacing="0" w:afterAutospacing="0"/>
    </w:pPr>
    <w:rPr>
      <w:sz w:val="20"/>
      <w:szCs w:val="20"/>
    </w:rPr>
  </w:style>
  <w:style w:type="character" w:styleId="C0" w:default="1">
    <w:name w:val="Default Paragraph Font"/>
    <w:rPr/>
  </w:style>
  <w:style w:type="character" w:styleId="C1">
    <w:name w:val="Line Number"/>
    <w:basedOn w:val="C0"/>
    <w:semiHidden/>
    <w:rPr/>
  </w:style>
  <w:style w:type="character" w:styleId="C2">
    <w:name w:val="Hyperlink"/>
    <w:basedOn w:val="C0"/>
    <w:rPr>
      <w:color w:val="0563C1" w:themeColor="hyperlink"/>
      <w:u w:val="single"/>
    </w:rPr>
  </w:style>
  <w:style w:type="character" w:styleId="C3">
    <w:name w:val="Текст у виносці Знак"/>
    <w:basedOn w:val="C0"/>
    <w:link w:val="P2"/>
    <w:semiHidden/>
    <w:rPr>
      <w:rFonts w:ascii="Segoe UI" w:hAnsi="Segoe UI"/>
      <w:sz w:val="18"/>
      <w:szCs w:val="18"/>
    </w:rPr>
  </w:style>
  <w:style w:type="character" w:styleId="C4">
    <w:name w:val="Верхній колонтитул Знак"/>
    <w:basedOn w:val="C0"/>
    <w:link w:val="P3"/>
    <w:rPr/>
  </w:style>
  <w:style w:type="character" w:styleId="C5">
    <w:name w:val="Нижній колонтитул Знак"/>
    <w:basedOn w:val="C0"/>
    <w:link w:val="P4"/>
    <w:rPr/>
  </w:style>
  <w:style w:type="character" w:styleId="C6">
    <w:name w:val="annotation reference"/>
    <w:basedOn w:val="C0"/>
    <w:semiHidden/>
    <w:rPr>
      <w:sz w:val="16"/>
      <w:szCs w:val="16"/>
    </w:rPr>
  </w:style>
  <w:style w:type="character" w:styleId="C7">
    <w:name w:val="Текст примітки Знак"/>
    <w:basedOn w:val="C0"/>
    <w:link w:val="P5"/>
    <w:semiHidden/>
    <w:rPr>
      <w:sz w:val="20"/>
      <w:szCs w:val="20"/>
    </w:rPr>
  </w:style>
  <w:style w:type="character" w:styleId="C8">
    <w:name w:val="Тема примітки Знак"/>
    <w:basedOn w:val="C7"/>
    <w:link w:val="P6"/>
    <w:semiHidden/>
    <w:rPr>
      <w:b w:val="1"/>
      <w:bCs w:val="1"/>
      <w:sz w:val="20"/>
      <w:szCs w:val="20"/>
    </w:rPr>
  </w:style>
  <w:style w:type="character" w:styleId="C9">
    <w:name w:val="footnote reference"/>
    <w:semiHidden/>
    <w:rPr>
      <w:vertAlign w:val="superscript"/>
    </w:rPr>
  </w:style>
  <w:style w:type="character" w:styleId="C10">
    <w:name w:val="Footnote Text Char"/>
    <w:link w:val="P7"/>
    <w:semiHidden/>
    <w:rPr>
      <w:sz w:val="20"/>
      <w:szCs w:val="20"/>
    </w:rPr>
  </w:style>
  <w:style w:type="character" w:styleId="C11">
    <w:name w:val="endnote reference"/>
    <w:semiHidden/>
    <w:rPr>
      <w:vertAlign w:val="superscript"/>
    </w:rPr>
  </w:style>
  <w:style w:type="character" w:styleId="C12">
    <w:name w:val="Endnote Text Char"/>
    <w:link w:val="P8"/>
    <w:semiHidden/>
    <w:rPr>
      <w:sz w:val="20"/>
      <w:szCs w:val="20"/>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Table Grid"/>
    <w:basedOn w:val="T0"/>
    <w:pPr>
      <w:spacing w:lineRule="auto" w:line="240" w:after="0" w:beforeAutospacing="0" w:afterAutospacing="0"/>
    </w:pPr>
    <w:tblPr>
      <w:tblBorders>
        <w:top w:val="single" w:sz="4" w:space="0" w:shadow="0" w:frame="0" w:color="auto"/>
        <w:left w:val="single" w:sz="4" w:space="0" w:shadow="0" w:frame="0" w:color="auto"/>
        <w:bottom w:val="single" w:sz="4" w:space="0" w:shadow="0" w:frame="0" w:color="auto"/>
        <w:right w:val="single" w:sz="4" w:space="0" w:shadow="0" w:frame="0" w:color="auto"/>
        <w:insideH w:val="single" w:sz="4" w:space="0" w:shadow="0" w:frame="0" w:color="auto"/>
        <w:insideV w:val="single" w:sz="4" w:space="0" w:shadow="0" w:frame="0" w:color="auto"/>
      </w:tblBorders>
    </w:tblPr>
    <w:trPr/>
    <w:tcPr/>
  </w:style>
  <w:style w:type="numbering" w:styleId="N0">
    <w:name w:val="No List"/>
  </w:style>
</w:styles>
</file>

<file path=word/_rels/document.xml.rels>&#65279;<?xml version="1.0" encoding="utf-8"?><Relationships xmlns="http://schemas.openxmlformats.org/package/2006/relationships"><Relationship Id="R2" Type="http://schemas.openxmlformats.org/officeDocument/2006/relationships/hyperlink" Target="https://rkt.ukrintei.ua/" TargetMode="External" /><Relationship Id="RelHdr1" Type="http://schemas.openxmlformats.org/officeDocument/2006/relationships/header" Target="header1.xml" /><Relationship Id="RelFnt1" Type="http://schemas.openxmlformats.org/officeDocument/2006/relationships/footnotes" Target="footnotes.xml" /><Relationship Id="RelEnt1" Type="http://schemas.openxmlformats.org/officeDocument/2006/relationships/endnotes" Target="endnotes.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 Id="RelItem1" Type="http://schemas.openxmlformats.org/officeDocument/2006/relationships/customXml" Target="../customXml/item1.xml" /></Relationships>
</file>

<file path=word/_rels/endnotes.xml.rels>&#65279;<?xml version="1.0" encoding="utf-8"?><Relationships xmlns="http://schemas.openxmlformats.org/package/2006/relationships" />
</file>

<file path=word/_rels/footnotes.xml.rels>&#65279;<?xml version="1.0" encoding="utf-8"?><Relationships xmlns="http://schemas.openxmlformats.org/package/2006/relationships" />
</file>

<file path=word/_rels/header1.xml.rels>&#65279;<?xml version="1.0" encoding="utf-8"?><Relationships xmlns="http://schemas.openxmlformats.org/package/2006/relationships" />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ea79b-2e3c-403f-880e-12b84f0faf09}">
  <ds:schemaRefs>
    <ds:schemaRef ds:uri="http://schemas.microsoft.com/vsto/samples"/>
  </ds:schemaRefs>
</ds:datastoreItem>
</file>

<file path=docProps/app.xml><?xml version="1.0" encoding="utf-8"?>
<Properties xmlns="http://schemas.openxmlformats.org/officeDocument/2006/extended-properties">
  <Application>DevExpress Office File API/21.1.3.0</Application>
  <AppVersion>21.1</AppVersion>
  <Company>SPecialiST RePack</Company>
  <Template>Normal.dotm</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Prudka O.V.</dc:creator>
  <dcterms:created xsi:type="dcterms:W3CDTF">2021-10-23T06:15:00Z</dcterms:created>
  <cp:lastModifiedBy>erp_adm</cp:lastModifiedBy>
  <cp:lastPrinted>2021-10-20T07:27:00Z</cp:lastPrinted>
  <dcterms:modified xsi:type="dcterms:W3CDTF">2021-11-16T07:32:55Z</dcterms:modified>
  <cp:revision>24</cp:revision>
</cp:coreProperties>
</file>